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Jonathan Pierce</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ECO/SP</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Rachel Mendez</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+1 302 555-0156</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03-12-2025</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US2025-0843</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640000324917</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2K-PU Clearcoat Reference Standard #R6045; 020003985301</w:t>
      </w:r>
    </w:p>
    <w:p>
      <w:pPr>
        <w:spacing w:after="120" w:line="280"/>
      </w:pPr>
      <w:r>
        <w:rPr>
          <w:rFonts w:ascii="Calibri" w:cs="Calibri" w:eastAsia="Calibri" w:hAnsi="Calibri"/>
          <w:sz w:val="20"/>
          <w:szCs w:val="20"/>
        </w:rPr>
        <w:t xml:space="preserve">2K-PU Clearcoat #30094218504; 020003985303</w:t>
      </w:r>
    </w:p>
    <w:p>
      <w:pPr>
        <w:spacing w:after="120" w:line="280"/>
      </w:pPr>
      <w:r>
        <w:rPr>
          <w:rFonts w:ascii="Calibri" w:cs="Calibri" w:eastAsia="Calibri" w:hAnsi="Calibri"/>
          <w:sz w:val="20"/>
          <w:szCs w:val="20"/>
        </w:rPr>
        <w:t xml:space="preserve">2K-PU Clearcoat #30094218505; 020003985305</w:t>
      </w:r>
    </w:p>
    <w:p>
      <w:pPr>
        <w:spacing w:after="120" w:line="280"/>
      </w:pPr>
      <w:r>
        <w:rPr>
          <w:rFonts w:ascii="Calibri" w:cs="Calibri" w:eastAsia="Calibri" w:hAnsi="Calibri"/>
          <w:sz w:val="20"/>
          <w:szCs w:val="20"/>
        </w:rPr>
        <w:t xml:space="preserve">2K-PU Clearcoat #30094218506; 020003985307</w:t>
      </w:r>
    </w:p>
    <w:p>
      <w:pPr>
        <w:spacing w:after="40" w:before="120"/>
      </w:pPr>
      <w:r>
        <w:rPr>
          <w:rFonts w:ascii="Calibri" w:cs="Calibri" w:eastAsia="Calibri" w:hAnsi="Calibri"/>
          <w:i/>
          <w:iCs/>
          <w:sz w:val="20"/>
          <w:szCs w:val="20"/>
        </w:rPr>
        <w:t xml:space="preserve">Date of request:  19-11-2025</w:t>
      </w:r>
    </w:p>
    <w:p>
      <w:pPr>
        <w:spacing w:after="200"/>
      </w:pPr>
      <w:r>
        <w:rPr>
          <w:rFonts w:ascii="Calibri" w:cs="Calibri" w:eastAsia="Calibri" w:hAnsi="Calibri"/>
          <w:i/>
          <w:iCs/>
          <w:sz w:val="20"/>
          <w:szCs w:val="20"/>
        </w:rPr>
        <w:t xml:space="preserve">Receipt of order:  26-11-2025</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03-12-2025, our laboratory received four samples submitted by Crestline Auto Refinish for comprehensive analytical characterisation. The samples comprise one reference standard and three production batches of 2K-PU clearcoat, provided for comparative compositional analysis against internal specifications and customer release criteria. In order to fully characterise the submitted materials,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Identification and quantification of inorganic constituents by ICP-OES.</w:t>
      </w:r>
    </w:p>
    <w:p>
      <w:pPr>
        <w:pStyle w:val="ListParagraph"/>
        <w:numPr>
          <w:ilvl w:val="0"/>
          <w:numId w:val="2"/>
        </w:numPr>
        <w:spacing w:after="60"/>
      </w:pPr>
      <w:r>
        <w:rPr>
          <w:rFonts w:ascii="Calibri" w:cs="Calibri" w:eastAsia="Calibri" w:hAnsi="Calibri"/>
          <w:sz w:val="20"/>
          <w:szCs w:val="20"/>
        </w:rPr>
        <w:t xml:space="preserve">Qualitative elemental screening by X-ray fluorescence spectroscopy (XRF).</w:t>
      </w:r>
    </w:p>
    <w:p>
      <w:pPr>
        <w:pStyle w:val="ListParagraph"/>
        <w:numPr>
          <w:ilvl w:val="0"/>
          <w:numId w:val="2"/>
        </w:numPr>
        <w:spacing w:after="60"/>
      </w:pPr>
      <w:r>
        <w:rPr>
          <w:rFonts w:ascii="Calibri" w:cs="Calibri" w:eastAsia="Calibri" w:hAnsi="Calibri"/>
          <w:sz w:val="20"/>
          <w:szCs w:val="20"/>
        </w:rPr>
        <w:t xml:space="preserve">Determination of water-soluble inorganic components by ICP-OES on aqueous extract.</w:t>
      </w:r>
    </w:p>
    <w:p>
      <w:pPr>
        <w:pStyle w:val="ListParagraph"/>
        <w:numPr>
          <w:ilvl w:val="0"/>
          <w:numId w:val="2"/>
        </w:numPr>
        <w:spacing w:after="60"/>
      </w:pPr>
      <w:r>
        <w:rPr>
          <w:rFonts w:ascii="Calibri" w:cs="Calibri" w:eastAsia="Calibri" w:hAnsi="Calibri"/>
          <w:sz w:val="20"/>
          <w:szCs w:val="20"/>
        </w:rPr>
        <w:t xml:space="preserve">Characterisation of organic coating fractions by FTIR.</w:t>
      </w:r>
    </w:p>
    <w:p>
      <w:pPr>
        <w:pStyle w:val="ListParagraph"/>
        <w:numPr>
          <w:ilvl w:val="0"/>
          <w:numId w:val="2"/>
        </w:numPr>
        <w:spacing w:after="120"/>
      </w:pPr>
      <w:r>
        <w:rPr>
          <w:rFonts w:ascii="Calibri" w:cs="Calibri" w:eastAsia="Calibri" w:hAnsi="Calibri"/>
          <w:sz w:val="20"/>
          <w:szCs w:val="20"/>
        </w:rPr>
        <w:t xml:space="preserve">Determination of silicone oil content by ¹H-NMR.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Inorganic analysis</w:t>
      </w:r>
    </w:p>
    <w:p>
      <w:pPr>
        <w:spacing w:after="80" w:line="280"/>
      </w:pPr>
      <w:r>
        <w:rPr>
          <w:rFonts w:ascii="Calibri" w:cs="Calibri" w:eastAsia="Calibri" w:hAnsi="Calibri"/>
          <w:sz w:val="20"/>
          <w:szCs w:val="20"/>
        </w:rPr>
        <w:t xml:space="preserve">The inorganic constituents of the four submitted samples were characterised by a combination of gravimetric and spectroscopic techniques. The results are summarised below.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#R6045;</w:t>
            </w:r>
          </w:p>
          <w:p>
            <w:pPr>
              <w:spacing w:after="0" w:line="240"/>
              <w:jc w:val="center"/>
            </w:pPr>
            <w:r>
              <w:rPr>
                <w:rFonts w:ascii="Calibri" w:cs="Calibri" w:eastAsia="Calibri" w:hAnsi="Calibri"/>
                <w:b/>
                <w:bCs/>
                <w:i w:val="false"/>
                <w:iCs w:val="false"/>
                <w:sz w:val="16"/>
                <w:szCs w:val="16"/>
              </w:rPr>
              <w:t xml:space="preserve">020003985301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#30094218504;</w:t>
            </w:r>
          </w:p>
          <w:p>
            <w:pPr>
              <w:spacing w:after="0" w:line="240"/>
              <w:jc w:val="center"/>
            </w:pPr>
            <w:r>
              <w:rPr>
                <w:rFonts w:ascii="Calibri" w:cs="Calibri" w:eastAsia="Calibri" w:hAnsi="Calibri"/>
                <w:b/>
                <w:bCs/>
                <w:i w:val="false"/>
                <w:iCs w:val="false"/>
                <w:sz w:val="16"/>
                <w:szCs w:val="16"/>
              </w:rPr>
              <w:t xml:space="preserve">020003985303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#30094218505;</w:t>
            </w:r>
          </w:p>
          <w:p>
            <w:pPr>
              <w:spacing w:after="0" w:line="240"/>
              <w:jc w:val="center"/>
            </w:pPr>
            <w:r>
              <w:rPr>
                <w:rFonts w:ascii="Calibri" w:cs="Calibri" w:eastAsia="Calibri" w:hAnsi="Calibri"/>
                <w:b/>
                <w:bCs/>
                <w:i w:val="false"/>
                <w:iCs w:val="false"/>
                <w:sz w:val="16"/>
                <w:szCs w:val="16"/>
              </w:rPr>
              <w:t xml:space="preserve">020003985305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#30094218506;</w:t>
            </w:r>
          </w:p>
          <w:p>
            <w:pPr>
              <w:spacing w:after="0" w:line="240"/>
              <w:jc w:val="center"/>
            </w:pPr>
            <w:r>
              <w:rPr>
                <w:rFonts w:ascii="Calibri" w:cs="Calibri" w:eastAsia="Calibri" w:hAnsi="Calibri"/>
                <w:b/>
                <w:bCs/>
                <w:i w:val="false"/>
                <w:iCs w:val="false"/>
                <w:sz w:val="16"/>
                <w:szCs w:val="16"/>
              </w:rPr>
              <w:t xml:space="preserve">020003985307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12.7</w:t>
            </w:r>
          </w:p>
        </w:tc>
      </w:tr>
    </w:tbl>
    <w:p>
      <w:pPr>
        <w:spacing w:after="120"/>
      </w:pPr>
      <w:r>
        <w:t xml:space="preserve"/>
      </w:r>
    </w:p>
    <w:p>
      <w:pPr>
        <w:spacing w:after="80" w:before="140"/>
      </w:pPr>
      <w:r>
        <w:rPr>
          <w:rFonts w:ascii="Calibri" w:cs="Calibri" w:eastAsia="Calibri" w:hAnsi="Calibri"/>
          <w:b/>
          <w:bCs/>
          <w:i/>
          <w:iCs/>
          <w:sz w:val="20"/>
          <w:szCs w:val="20"/>
        </w:rPr>
        <w:t xml:space="preserve">3.1.1  Composition of the total material</w:t>
      </w:r>
    </w:p>
    <w:p>
      <w:pPr>
        <w:spacing w:after="80" w:line="280"/>
      </w:pPr>
      <w:r>
        <w:rPr>
          <w:rFonts w:ascii="Calibri" w:cs="Calibri" w:eastAsia="Calibri" w:hAnsi="Calibri"/>
          <w:sz w:val="20"/>
          <w:szCs w:val="20"/>
        </w:rPr>
        <w:t xml:space="preserve">The acid digests of the four samples were analysed for their elemental composition by ICP-OES. Quantitative values are expressed as mass percentage (% w/w) relative to the original sample mass.</w:t>
      </w:r>
    </w:p>
    <w:p>
      <w:pPr>
        <w:spacing w:after="80" w:line="280"/>
      </w:pPr>
      <w:r>
        <w:rPr>
          <w:rFonts w:ascii="Calibri" w:cs="Calibri" w:eastAsia="Calibri" w:hAnsi="Calibri"/>
          <w:i/>
          <w:iCs/>
          <w:sz w:val="20"/>
          <w:szCs w:val="20"/>
        </w:rPr>
        <w:t xml:space="preserve">The following elements were detected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#R6045;</w:t>
            </w:r>
          </w:p>
          <w:p>
            <w:pPr>
              <w:spacing w:after="0" w:line="240"/>
              <w:jc w:val="center"/>
            </w:pPr>
            <w:r>
              <w:rPr>
                <w:rFonts w:ascii="Calibri" w:cs="Calibri" w:eastAsia="Calibri" w:hAnsi="Calibri"/>
                <w:b/>
                <w:bCs/>
                <w:i w:val="false"/>
                <w:iCs w:val="false"/>
                <w:sz w:val="16"/>
                <w:szCs w:val="16"/>
              </w:rPr>
              <w:t xml:space="preserve">020003985301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#30094218504;</w:t>
            </w:r>
          </w:p>
          <w:p>
            <w:pPr>
              <w:spacing w:after="0" w:line="240"/>
              <w:jc w:val="center"/>
            </w:pPr>
            <w:r>
              <w:rPr>
                <w:rFonts w:ascii="Calibri" w:cs="Calibri" w:eastAsia="Calibri" w:hAnsi="Calibri"/>
                <w:b/>
                <w:bCs/>
                <w:i w:val="false"/>
                <w:iCs w:val="false"/>
                <w:sz w:val="16"/>
                <w:szCs w:val="16"/>
              </w:rPr>
              <w:t xml:space="preserve">020003985303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#30094218505;</w:t>
            </w:r>
          </w:p>
          <w:p>
            <w:pPr>
              <w:spacing w:after="0" w:line="240"/>
              <w:jc w:val="center"/>
            </w:pPr>
            <w:r>
              <w:rPr>
                <w:rFonts w:ascii="Calibri" w:cs="Calibri" w:eastAsia="Calibri" w:hAnsi="Calibri"/>
                <w:b/>
                <w:bCs/>
                <w:i w:val="false"/>
                <w:iCs w:val="false"/>
                <w:sz w:val="16"/>
                <w:szCs w:val="16"/>
              </w:rPr>
              <w:t xml:space="preserve">020003985305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#30094218506;</w:t>
            </w:r>
          </w:p>
          <w:p>
            <w:pPr>
              <w:spacing w:after="0" w:line="240"/>
              <w:jc w:val="center"/>
            </w:pPr>
            <w:r>
              <w:rPr>
                <w:rFonts w:ascii="Calibri" w:cs="Calibri" w:eastAsia="Calibri" w:hAnsi="Calibri"/>
                <w:b/>
                <w:bCs/>
                <w:i w:val="false"/>
                <w:iCs w:val="false"/>
                <w:sz w:val="16"/>
                <w:szCs w:val="16"/>
              </w:rPr>
              <w:t xml:space="preserve">020003985307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Titanium (Ti)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2.81 %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2.94 %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2.72 %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0.43 %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1.15 %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3.19 %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0.17 %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0.13 %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Barium (Ba)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n.d.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4.32 %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4.11 %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4.48 %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Sulphur (S)</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1.14 %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1.21 %</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 elements</w:t>
            </w:r>
          </w:p>
          <w:p>
            <w:pPr>
              <w:spacing w:after="0" w:line="240"/>
              <w:jc w:val="left"/>
            </w:pPr>
            <w:r>
              <w:rPr>
                <w:rFonts w:ascii="Calibri" w:cs="Calibri" w:eastAsia="Calibri" w:hAnsi="Calibri"/>
                <w:b/>
                <w:bCs/>
                <w:i/>
                <w:iCs/>
                <w:sz w:val="16"/>
                <w:szCs w:val="16"/>
              </w:rPr>
              <w:t xml:space="preserve">by XRF</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Si, Ca, Zn</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r>
    </w:tbl>
    <w:p>
      <w:pPr>
        <w:spacing w:after="120"/>
      </w:pPr>
      <w:r>
        <w:t xml:space="preserve"/>
      </w:r>
    </w:p>
    <w:p>
      <w:pPr>
        <w:spacing w:after="80" w:before="140"/>
      </w:pPr>
      <w:r>
        <w:rPr>
          <w:rFonts w:ascii="Calibri" w:cs="Calibri" w:eastAsia="Calibri" w:hAnsi="Calibri"/>
          <w:b/>
          <w:bCs/>
          <w:i/>
          <w:iCs/>
          <w:sz w:val="20"/>
          <w:szCs w:val="20"/>
        </w:rPr>
        <w:t xml:space="preserve">3.1.2  Analysis of inorganic water-soluble components</w:t>
      </w:r>
    </w:p>
    <w:p>
      <w:pPr>
        <w:spacing w:after="80" w:line="280"/>
      </w:pPr>
      <w:r>
        <w:rPr>
          <w:rFonts w:ascii="Calibri" w:cs="Calibri" w:eastAsia="Calibri" w:hAnsi="Calibri"/>
          <w:i/>
          <w:iCs/>
          <w:sz w:val="20"/>
          <w:szCs w:val="20"/>
        </w:rPr>
        <w:t xml:space="preserve">The following elements could be determined in the aqueous extract: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#R6045;</w:t>
            </w:r>
          </w:p>
          <w:p>
            <w:pPr>
              <w:spacing w:after="0" w:line="240"/>
              <w:jc w:val="center"/>
            </w:pPr>
            <w:r>
              <w:rPr>
                <w:rFonts w:ascii="Calibri" w:cs="Calibri" w:eastAsia="Calibri" w:hAnsi="Calibri"/>
                <w:b/>
                <w:bCs/>
                <w:i w:val="false"/>
                <w:iCs w:val="false"/>
                <w:sz w:val="16"/>
                <w:szCs w:val="16"/>
              </w:rPr>
              <w:t xml:space="preserve">020003985301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#30094218504;</w:t>
            </w:r>
          </w:p>
          <w:p>
            <w:pPr>
              <w:spacing w:after="0" w:line="240"/>
              <w:jc w:val="center"/>
            </w:pPr>
            <w:r>
              <w:rPr>
                <w:rFonts w:ascii="Calibri" w:cs="Calibri" w:eastAsia="Calibri" w:hAnsi="Calibri"/>
                <w:b/>
                <w:bCs/>
                <w:i w:val="false"/>
                <w:iCs w:val="false"/>
                <w:sz w:val="16"/>
                <w:szCs w:val="16"/>
              </w:rPr>
              <w:t xml:space="preserve">020003985303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#30094218505;</w:t>
            </w:r>
          </w:p>
          <w:p>
            <w:pPr>
              <w:spacing w:after="0" w:line="240"/>
              <w:jc w:val="center"/>
            </w:pPr>
            <w:r>
              <w:rPr>
                <w:rFonts w:ascii="Calibri" w:cs="Calibri" w:eastAsia="Calibri" w:hAnsi="Calibri"/>
                <w:b/>
                <w:bCs/>
                <w:i w:val="false"/>
                <w:iCs w:val="false"/>
                <w:sz w:val="16"/>
                <w:szCs w:val="16"/>
              </w:rPr>
              <w:t xml:space="preserve">020003985305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#30094218506;</w:t>
            </w:r>
          </w:p>
          <w:p>
            <w:pPr>
              <w:spacing w:after="0" w:line="240"/>
              <w:jc w:val="center"/>
            </w:pPr>
            <w:r>
              <w:rPr>
                <w:rFonts w:ascii="Calibri" w:cs="Calibri" w:eastAsia="Calibri" w:hAnsi="Calibri"/>
                <w:b/>
                <w:bCs/>
                <w:i w:val="false"/>
                <w:iCs w:val="false"/>
                <w:sz w:val="16"/>
                <w:szCs w:val="16"/>
              </w:rPr>
              <w:t xml:space="preserve">020003985307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Sodium (Na)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Potassium (K)</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3.6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6.3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4.4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6.0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Nitrate (NO₃⁻)</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 mg/l</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w:t>
            </w:r>
          </w:p>
          <w:p>
            <w:pPr>
              <w:spacing w:after="0" w:line="240"/>
              <w:jc w:val="left"/>
            </w:pPr>
            <w:r>
              <w:rPr>
                <w:rFonts w:ascii="Calibri" w:cs="Calibri" w:eastAsia="Calibri" w:hAnsi="Calibri"/>
                <w:b/>
                <w:bCs/>
                <w:i/>
                <w:iCs/>
                <w:sz w:val="16"/>
                <w:szCs w:val="16"/>
              </w:rPr>
              <w:t xml:space="preserve">elements in the</w:t>
            </w:r>
          </w:p>
          <w:p>
            <w:pPr>
              <w:spacing w:after="0" w:line="240"/>
              <w:jc w:val="left"/>
            </w:pPr>
            <w:r>
              <w:rPr>
                <w:rFonts w:ascii="Calibri" w:cs="Calibri" w:eastAsia="Calibri" w:hAnsi="Calibri"/>
                <w:b/>
                <w:bCs/>
                <w:i/>
                <w:iCs/>
                <w:sz w:val="16"/>
                <w:szCs w:val="16"/>
              </w:rPr>
              <w:t xml:space="preserve">trace range</w:t>
            </w:r>
          </w:p>
          <w:p>
            <w:pPr>
              <w:spacing w:after="0" w:line="240"/>
              <w:jc w:val="left"/>
            </w:pPr>
            <w:r>
              <w:rPr>
                <w:rFonts w:ascii="Calibri" w:cs="Calibri" w:eastAsia="Calibri" w:hAnsi="Calibri"/>
                <w:b/>
                <w:bCs/>
                <w:i/>
                <w:iCs/>
                <w:sz w:val="16"/>
                <w:szCs w:val="16"/>
              </w:rPr>
              <w:t xml:space="preserve">(c &lt; 0.1 mg/l)</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 Ba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 Ba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w:t>
            </w:r>
          </w:p>
        </w:tc>
      </w:tr>
    </w:tbl>
    <w:p>
      <w:pPr>
        <w:spacing w:after="120"/>
      </w:pPr>
      <w:r>
        <w:t xml:space="preserve"/>
      </w:r>
    </w:p>
    <w:p>
      <w:pPr>
        <w:spacing w:after="100" w:before="160"/>
      </w:pPr>
      <w:r>
        <w:rPr>
          <w:rFonts w:ascii="Calibri" w:cs="Calibri" w:eastAsia="Calibri" w:hAnsi="Calibri"/>
          <w:b/>
          <w:bCs/>
          <w:sz w:val="22"/>
          <w:szCs w:val="22"/>
        </w:rPr>
        <w:t xml:space="preserve">3.2  Organic coatings</w:t>
      </w:r>
    </w:p>
    <w:p>
      <w:pPr>
        <w:spacing w:after="80" w:line="280"/>
      </w:pPr>
      <w:r>
        <w:rPr>
          <w:rFonts w:ascii="Calibri" w:cs="Calibri" w:eastAsia="Calibri" w:hAnsi="Calibri"/>
          <w:sz w:val="20"/>
          <w:szCs w:val="20"/>
        </w:rPr>
        <w:t xml:space="preserve">The solvent extracts of the four submitted samples were characterised by FTIR in the spectral range 4000–650 cm⁻¹. The reference and three production batches displayed spectra consistent with a 2K-PU binder system, with no significant variation in the binder fingerprint region. Iron content in the production batches (0.14 / 0.15 / 0.13 %) exceeds the internal specification limit of 0.10 % and continues the upward trend observed across this product line since 2023. Recommend escalation to the quality assurance team for review of supplier raw material certificates and a check of the pigment dispersion equipment. The cross-batch consistency of the elevated iron values suggests a systemic input source rather than a sporadic contamination event.</w:t>
      </w:r>
    </w:p>
    <w:p>
      <w:pPr>
        <w:spacing w:after="100" w:before="160"/>
      </w:pPr>
      <w:r>
        <w:rPr>
          <w:rFonts w:ascii="Calibri" w:cs="Calibri" w:eastAsia="Calibri" w:hAnsi="Calibri"/>
          <w:b/>
          <w:bCs/>
          <w:sz w:val="22"/>
          <w:szCs w:val="22"/>
        </w:rPr>
        <w:t xml:space="preserve">3.3  Determination of silicone oil contents by Proton-NMR</w:t>
      </w:r>
    </w:p>
    <w:p>
      <w:pPr>
        <w:spacing w:after="80" w:line="280"/>
      </w:pPr>
      <w:r>
        <w:rPr>
          <w:rFonts w:ascii="Calibri" w:cs="Calibri" w:eastAsia="Calibri" w:hAnsi="Calibri"/>
          <w:sz w:val="20"/>
          <w:szCs w:val="20"/>
        </w:rPr>
        <w:t xml:space="preserve">For the quantitative determination of silicone oil, aliquots of approximately 100 mg of each sample were extracted with 1.0 mL of deuterated chloroform (CDCl₃) containing tetramethylsilane (TMS) as internal chemical shift reference. Analyses were performed on a 400 MHz ¹H-NMR spectrometer under standard acquisition conditions. In the relevant chemical shift range (0.00–0.15 ppm), a weak singlet at 0.07 ppm was observed in the reference clearcoat, indicating the presence of silicone oil at trace levels below the quantification limit, consistent with the use of silicone-based levelling additives. No corresponding signals were detected in any of the three 2K-PU clearcoat batches, confirming the absence of silicone oil contamination. The limit of detection (LOD) and limit of quantification (LOQ) of the method were established at 5 mg/kg and 15 mg/kg, respectively.</w:t>
      </w:r>
    </w:p>
    <w:p>
      <w:pPr>
        <w:spacing w:after="80" w:before="240"/>
      </w:pPr>
      <w:r>
        <w:rPr>
          <w:rFonts w:ascii="Calibri" w:cs="Calibri" w:eastAsia="Calibri" w:hAnsi="Calibri"/>
          <w:b/>
          <w:bCs/>
          <w:sz w:val="20"/>
          <w:szCs w:val="20"/>
        </w:rPr>
        <w:t xml:space="preserve">Costs of analysis:  1,600.00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US2025-0843 640000324917</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E9DA44D8-B9F0-461F-8CA1-2540180DF8D2}"/>
</file>

<file path=customXml/itemProps2.xml><?xml version="1.0" encoding="utf-8"?>
<ds:datastoreItem xmlns:ds="http://schemas.openxmlformats.org/officeDocument/2006/customXml" ds:itemID="{4C10657C-33AF-4554-8973-0268C7B54103}"/>
</file>

<file path=customXml/itemProps3.xml><?xml version="1.0" encoding="utf-8"?>
<ds:datastoreItem xmlns:ds="http://schemas.openxmlformats.org/officeDocument/2006/customXml" ds:itemID="{83D0ADCD-EE9E-4A69-834F-6AD8CC0FFF82}"/>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US2025-0843</dc:title>
  <dc:creator>Meridian Analytical Laboratories</dc:creator>
  <cp:lastModifiedBy>Un-named</cp:lastModifiedBy>
  <cp:revision>1</cp:revision>
  <dcterms:created xsi:type="dcterms:W3CDTF">2026-04-29T13:34:55Z</dcterms:created>
  <dcterms:modified xsi:type="dcterms:W3CDTF">2026-04-29T13:34:55Z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