
<file path=[Content_Types].xml><?xml version="1.0" encoding="utf-8"?>
<Types xmlns="http://schemas.openxmlformats.org/package/2006/content-types">
  <Default Extension="bmp" ContentType="image/bmp"/>
  <Default Extension="gif" ContentType="image/gif"/>
  <Default Extension="jpeg" ContentType="image/jpeg"/>
  <Default Extension="jpg" ContentType="image/jpeg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00"/>
        </w:tabs>
        <w:spacing w:after="40"/>
      </w:pPr>
      <w:r>
        <w:rPr>
          <w:rFonts w:ascii="Calibri" w:cs="Calibri" w:eastAsia="Calibri" w:hAnsi="Calibri"/>
          <w:sz w:val="20"/>
          <w:szCs w:val="20"/>
        </w:rPr>
        <w:t xml:space="preserve">ECO/TN   Karen O'Sullivan</w:t>
      </w:r>
      <w:r>
        <w:rPr>
          <w:rFonts w:ascii="Calibri" w:cs="Calibri" w:eastAsia="Calibri" w:hAnsi="Calibri"/>
          <w:sz w:val="20"/>
          <w:szCs w:val="20"/>
        </w:rPr>
        <w:t xml:space="preserve">	</w:t>
      </w:r>
      <w:r>
        <w:rPr>
          <w:rFonts w:ascii="Calibri" w:cs="Calibri" w:eastAsia="Calibri" w:hAnsi="Calibri"/>
          <w:b w:val="false"/>
          <w:bCs w:val="false"/>
          <w:sz w:val="20"/>
          <w:szCs w:val="20"/>
        </w:rPr>
        <w:t xml:space="preserve">ECO/AC</w:t>
      </w:r>
    </w:p>
    <w:p>
      <w:pPr>
        <w:tabs>
          <w:tab w:val="right" w:pos="9000"/>
        </w:tabs>
        <w:spacing w:after="40"/>
      </w:pPr>
      <w:r>
        <w:rPr>
          <w:rFonts w:ascii="Calibri" w:cs="Calibri" w:eastAsia="Calibri" w:hAnsi="Calibri"/>
          <w:sz w:val="20"/>
          <w:szCs w:val="20"/>
        </w:rPr>
        <w:t xml:space="preserve"/>
      </w:r>
      <w:r>
        <w:rPr>
          <w:rFonts w:ascii="Calibri" w:cs="Calibri" w:eastAsia="Calibri" w:hAnsi="Calibri"/>
          <w:sz w:val="20"/>
          <w:szCs w:val="20"/>
        </w:rPr>
        <w:t xml:space="preserve">	</w:t>
      </w:r>
      <w:r>
        <w:rPr>
          <w:rFonts w:ascii="Calibri" w:cs="Calibri" w:eastAsia="Calibri" w:hAnsi="Calibri"/>
          <w:b w:val="false"/>
          <w:bCs w:val="false"/>
          <w:sz w:val="20"/>
          <w:szCs w:val="20"/>
        </w:rPr>
        <w:t xml:space="preserve">Dr. Samuel Whitaker</w:t>
      </w:r>
    </w:p>
    <w:p>
      <w:pPr>
        <w:tabs>
          <w:tab w:val="right" w:pos="9000"/>
        </w:tabs>
        <w:spacing w:after="40"/>
      </w:pPr>
      <w:r>
        <w:rPr>
          <w:rFonts w:ascii="Calibri" w:cs="Calibri" w:eastAsia="Calibri" w:hAnsi="Calibri"/>
          <w:sz w:val="20"/>
          <w:szCs w:val="20"/>
        </w:rPr>
        <w:t xml:space="preserve"/>
      </w:r>
      <w:r>
        <w:rPr>
          <w:rFonts w:ascii="Calibri" w:cs="Calibri" w:eastAsia="Calibri" w:hAnsi="Calibri"/>
          <w:sz w:val="20"/>
          <w:szCs w:val="20"/>
        </w:rPr>
        <w:t xml:space="preserve">	</w:t>
      </w:r>
      <w:r>
        <w:rPr>
          <w:rFonts w:ascii="Calibri" w:cs="Calibri" w:eastAsia="Calibri" w:hAnsi="Calibri"/>
          <w:b w:val="false"/>
          <w:bCs w:val="false"/>
          <w:sz w:val="20"/>
          <w:szCs w:val="20"/>
        </w:rPr>
        <w:t xml:space="preserve">Tel.  +1 302 555-0148</w:t>
      </w:r>
    </w:p>
    <w:p>
      <w:pPr>
        <w:tabs>
          <w:tab w:val="right" w:pos="9000"/>
        </w:tabs>
        <w:spacing w:after="40"/>
      </w:pPr>
      <w:r>
        <w:rPr>
          <w:rFonts w:ascii="Calibri" w:cs="Calibri" w:eastAsia="Calibri" w:hAnsi="Calibri"/>
          <w:sz w:val="20"/>
          <w:szCs w:val="20"/>
        </w:rPr>
        <w:t xml:space="preserve"/>
      </w:r>
      <w:r>
        <w:rPr>
          <w:rFonts w:ascii="Calibri" w:cs="Calibri" w:eastAsia="Calibri" w:hAnsi="Calibri"/>
          <w:sz w:val="20"/>
          <w:szCs w:val="20"/>
        </w:rPr>
        <w:t xml:space="preserve">	</w:t>
      </w:r>
      <w:r>
        <w:rPr>
          <w:rFonts w:ascii="Calibri" w:cs="Calibri" w:eastAsia="Calibri" w:hAnsi="Calibri"/>
          <w:b w:val="false"/>
          <w:bCs w:val="false"/>
          <w:sz w:val="20"/>
          <w:szCs w:val="20"/>
        </w:rPr>
        <w:t xml:space="preserve">Date  19-09-2025</w:t>
      </w:r>
    </w:p>
    <w:p>
      <w:pPr>
        <w:tabs>
          <w:tab w:val="right" w:pos="9000"/>
        </w:tabs>
        <w:spacing w:after="40"/>
      </w:pPr>
      <w:r>
        <w:rPr>
          <w:rFonts w:ascii="Calibri" w:cs="Calibri" w:eastAsia="Calibri" w:hAnsi="Calibri"/>
          <w:sz w:val="20"/>
          <w:szCs w:val="20"/>
        </w:rPr>
        <w:t xml:space="preserve"/>
      </w:r>
      <w:r>
        <w:rPr>
          <w:rFonts w:ascii="Calibri" w:cs="Calibri" w:eastAsia="Calibri" w:hAnsi="Calibri"/>
          <w:sz w:val="20"/>
          <w:szCs w:val="20"/>
        </w:rPr>
        <w:t xml:space="preserve">	</w:t>
      </w:r>
      <w:r>
        <w:rPr>
          <w:rFonts w:ascii="Calibri" w:cs="Calibri" w:eastAsia="Calibri" w:hAnsi="Calibri"/>
          <w:b/>
          <w:bCs/>
          <w:sz w:val="20"/>
          <w:szCs w:val="20"/>
        </w:rPr>
        <w:t xml:space="preserve">Report-no:  US2025-0617</w:t>
      </w:r>
    </w:p>
    <w:p>
      <w:pPr>
        <w:tabs>
          <w:tab w:val="right" w:pos="9000"/>
        </w:tabs>
        <w:spacing w:after="240"/>
      </w:pPr>
      <w:r>
        <w:rPr>
          <w:rFonts w:ascii="Calibri" w:cs="Calibri" w:eastAsia="Calibri" w:hAnsi="Calibri"/>
          <w:sz w:val="20"/>
          <w:szCs w:val="20"/>
        </w:rPr>
        <w:t xml:space="preserve"/>
      </w:r>
      <w:r>
        <w:rPr>
          <w:rFonts w:ascii="Calibri" w:cs="Calibri" w:eastAsia="Calibri" w:hAnsi="Calibri"/>
          <w:sz w:val="20"/>
          <w:szCs w:val="20"/>
        </w:rPr>
        <w:t xml:space="preserve">	</w:t>
      </w:r>
      <w:r>
        <w:rPr>
          <w:rFonts w:ascii="Calibri" w:cs="Calibri" w:eastAsia="Calibri" w:hAnsi="Calibri"/>
          <w:b/>
          <w:bCs/>
          <w:sz w:val="20"/>
          <w:szCs w:val="20"/>
        </w:rPr>
        <w:t xml:space="preserve">640000312418</w:t>
      </w:r>
    </w:p>
    <w:p>
      <w:pPr>
        <w:spacing w:after="240" w:before="120"/>
        <w:jc w:val="center"/>
      </w:pPr>
      <w:r>
        <w:rPr>
          <w:rFonts w:ascii="Calibri" w:cs="Calibri" w:eastAsia="Calibri" w:hAnsi="Calibri"/>
          <w:b/>
          <w:bCs/>
          <w:color w:val="C00000"/>
          <w:sz w:val="24"/>
          <w:szCs w:val="24"/>
        </w:rPr>
        <w:t xml:space="preserve">Confidential – only for internal use!</w:t>
      </w:r>
    </w:p>
    <w:p>
      <w:pPr>
        <w:spacing w:after="16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Result of the analytical investigation of the samples:</w:t>
      </w:r>
    </w:p>
    <w:p>
      <w:pPr>
        <w:spacing w:after="120" w:line="280"/>
      </w:pPr>
      <w:r>
        <w:rPr>
          <w:rFonts w:ascii="Calibri" w:cs="Calibri" w:eastAsia="Calibri" w:hAnsi="Calibri"/>
          <w:sz w:val="20"/>
          <w:szCs w:val="20"/>
        </w:rPr>
        <w:t xml:space="preserve">Titanium Dioxide Pigment / Reference (Current Production Grade); 020003961201</w:t>
      </w:r>
    </w:p>
    <w:p>
      <w:pPr>
        <w:spacing w:after="120" w:line="280"/>
      </w:pPr>
      <w:r>
        <w:rPr>
          <w:rFonts w:ascii="Calibri" w:cs="Calibri" w:eastAsia="Calibri" w:hAnsi="Calibri"/>
          <w:sz w:val="20"/>
          <w:szCs w:val="20"/>
        </w:rPr>
        <w:t xml:space="preserve">Titanium Dioxide Pigment / Candidate D — Ridgemont Industrial Pigments; 020003961203</w:t>
      </w:r>
    </w:p>
    <w:p>
      <w:pPr>
        <w:spacing w:after="120" w:line="280"/>
      </w:pPr>
      <w:r>
        <w:rPr>
          <w:rFonts w:ascii="Calibri" w:cs="Calibri" w:eastAsia="Calibri" w:hAnsi="Calibri"/>
          <w:sz w:val="20"/>
          <w:szCs w:val="20"/>
        </w:rPr>
        <w:t xml:space="preserve">Titanium Dioxide Pigment / Candidate E — Ironwood Mineral Solutions; 020003961205</w:t>
      </w:r>
    </w:p>
    <w:p>
      <w:pPr>
        <w:spacing w:after="120" w:line="280"/>
      </w:pPr>
      <w:r>
        <w:rPr>
          <w:rFonts w:ascii="Calibri" w:cs="Calibri" w:eastAsia="Calibri" w:hAnsi="Calibri"/>
          <w:sz w:val="20"/>
          <w:szCs w:val="20"/>
        </w:rPr>
        <w:t xml:space="preserve">Titanium Dioxide Pigment / Candidate F — Summit Chemical Inc.; 020003961207</w:t>
      </w:r>
    </w:p>
    <w:p>
      <w:pPr>
        <w:spacing w:after="40" w:before="120"/>
      </w:pPr>
      <w:r>
        <w:rPr>
          <w:rFonts w:ascii="Calibri" w:cs="Calibri" w:eastAsia="Calibri" w:hAnsi="Calibri"/>
          <w:i/>
          <w:iCs/>
          <w:sz w:val="20"/>
          <w:szCs w:val="20"/>
        </w:rPr>
        <w:t xml:space="preserve">Date of request:  05-09-2025</w:t>
      </w:r>
    </w:p>
    <w:p>
      <w:pPr>
        <w:spacing w:after="200"/>
      </w:pPr>
      <w:r>
        <w:rPr>
          <w:rFonts w:ascii="Calibri" w:cs="Calibri" w:eastAsia="Calibri" w:hAnsi="Calibri"/>
          <w:i/>
          <w:iCs/>
          <w:sz w:val="20"/>
          <w:szCs w:val="20"/>
        </w:rPr>
        <w:t xml:space="preserve">Receipt of order:  12-09-2025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sz w:val="24"/>
          <w:szCs w:val="24"/>
        </w:rPr>
        <w:t xml:space="preserve">1.  General introduction</w:t>
      </w:r>
    </w:p>
    <w:p>
      <w:pPr>
        <w:spacing w:after="80" w:line="280"/>
      </w:pPr>
      <w:r>
        <w:rPr>
          <w:rFonts w:ascii="Calibri" w:cs="Calibri" w:eastAsia="Calibri" w:hAnsi="Calibri"/>
          <w:sz w:val="20"/>
          <w:szCs w:val="20"/>
        </w:rPr>
        <w:t xml:space="preserve">On 19-09-2025, our laboratory received four samples of titanium dioxide (TiO₂) pigment for comparative supplier evaluation. The samples were submitted by Northbridge Coatings Inc. as part of a supplier qualification programme. The objective is to assess candidate suppliers against the incumbent production-grade reference for use in the 2K-PU clearcoat production line, with focus on metallic impurity profiles. The following investigations were performed: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0"/>
          <w:szCs w:val="20"/>
        </w:rPr>
        <w:t xml:space="preserve">Determination of TiO₂ purity by gravimetric and ICP-OES analysis.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0"/>
          <w:szCs w:val="20"/>
        </w:rPr>
        <w:t xml:space="preserve">Quantification of metallic impurities (Fe, Al, Si, V, Mn, Cr) by ICP-OES.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0"/>
          <w:szCs w:val="20"/>
        </w:rPr>
        <w:t xml:space="preserve">Qualitative elemental confirmation by X-ray fluorescence (XRF).</w:t>
      </w:r>
    </w:p>
    <w:p>
      <w:pPr>
        <w:pStyle w:val="ListParagraph"/>
        <w:numPr>
          <w:ilvl w:val="0"/>
          <w:numId w:val="2"/>
        </w:numPr>
        <w:spacing w:after="120"/>
      </w:pPr>
      <w:r>
        <w:rPr>
          <w:rFonts w:ascii="Calibri" w:cs="Calibri" w:eastAsia="Calibri" w:hAnsi="Calibri"/>
          <w:sz w:val="20"/>
          <w:szCs w:val="20"/>
        </w:rPr>
        <w:t xml:space="preserve">Particle size distribution and rutile/anatase ratio determination.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sz w:val="24"/>
          <w:szCs w:val="24"/>
        </w:rPr>
        <w:t xml:space="preserve">2.  Sample preparation</w:t>
      </w:r>
    </w:p>
    <w:p>
      <w:pPr>
        <w:spacing w:after="100" w:before="16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2.1  TiO₂ pigment digestion for ICP-OES</w:t>
      </w:r>
    </w:p>
    <w:p>
      <w:pPr>
        <w:spacing w:after="80" w:line="280"/>
      </w:pPr>
      <w:r>
        <w:rPr>
          <w:rFonts w:ascii="Calibri" w:cs="Calibri" w:eastAsia="Calibri" w:hAnsi="Calibri"/>
          <w:sz w:val="20"/>
          <w:szCs w:val="20"/>
        </w:rPr>
        <w:t xml:space="preserve">Approximately 0.20 g of each pigment sample was digested using a hot-block fusion approach with a mixture of concentrated sulphuric acid (4 mL) and ammonium sulphate (2 g) at 280 °C for 60 minutes. After cooling, the dissolved digests were diluted to 50 mL with ultrapure water for analysis.</w:t>
      </w:r>
    </w:p>
    <w:p>
      <w:pPr>
        <w:spacing w:after="100" w:before="16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2.2  Sample preparation for XRF</w:t>
      </w:r>
    </w:p>
    <w:p>
      <w:pPr>
        <w:spacing w:after="80" w:line="280"/>
      </w:pPr>
      <w:r>
        <w:rPr>
          <w:rFonts w:ascii="Calibri" w:cs="Calibri" w:eastAsia="Calibri" w:hAnsi="Calibri"/>
          <w:sz w:val="20"/>
          <w:szCs w:val="20"/>
        </w:rPr>
        <w:t xml:space="preserve">Pigment sub-samples were pressed into 32 mm pellets without binder using a hydraulic press at 20 tons. The pellets were analysed under vacuum conditions using a rhodium-anode X-ray tube.</w:t>
      </w:r>
    </w:p>
    <w:p>
      <w:pPr>
        <w:spacing w:after="100" w:before="16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2.3  Sample preparation for particle size and phase analysis</w:t>
      </w:r>
    </w:p>
    <w:p>
      <w:pPr>
        <w:spacing w:after="80" w:line="280"/>
      </w:pPr>
      <w:r>
        <w:rPr>
          <w:rFonts w:ascii="Calibri" w:cs="Calibri" w:eastAsia="Calibri" w:hAnsi="Calibri"/>
          <w:sz w:val="20"/>
          <w:szCs w:val="20"/>
        </w:rPr>
        <w:t xml:space="preserve">Aliquots of approximately 0.5 g were dispersed in deionised water with a non-ionic surfactant and sonicated for 5 minutes prior to laser diffraction measurement. Phase composition (rutile/anatase) was determined by X-ray diffraction on dry powder samples.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sz w:val="24"/>
          <w:szCs w:val="24"/>
        </w:rPr>
        <w:t xml:space="preserve">3.  Results</w:t>
      </w:r>
    </w:p>
    <w:p>
      <w:pPr>
        <w:spacing w:after="100" w:before="16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3.1  TiO₂ purity and impurity profile</w:t>
      </w:r>
    </w:p>
    <w:p>
      <w:pPr>
        <w:spacing w:after="80" w:line="280"/>
      </w:pPr>
      <w:r>
        <w:rPr>
          <w:rFonts w:ascii="Calibri" w:cs="Calibri" w:eastAsia="Calibri" w:hAnsi="Calibri"/>
          <w:sz w:val="20"/>
          <w:szCs w:val="20"/>
        </w:rPr>
        <w:t xml:space="preserve">The four titanium dioxide samples were characterised by ICP-OES (acid digest) and XRF qualitative analysis.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1800"/>
        <w:gridCol w:w="1800"/>
        <w:gridCol w:w="1800"/>
        <w:gridCol w:w="1800"/>
      </w:tblGrid>
      <w:tr>
        <w:trPr>
          <w:cantSplit/>
          <w:tblHeader/>
        </w:trPr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D9E2F3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D9E2F3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6"/>
                <w:szCs w:val="16"/>
              </w:rPr>
              <w:t xml:space="preserve">Reference</w:t>
            </w:r>
          </w:p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6"/>
                <w:szCs w:val="16"/>
              </w:rPr>
              <w:t xml:space="preserve">(Current);</w:t>
            </w:r>
          </w:p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6"/>
                <w:szCs w:val="16"/>
              </w:rPr>
              <w:t xml:space="preserve">020003961201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D9E2F3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6"/>
                <w:szCs w:val="16"/>
              </w:rPr>
              <w:t xml:space="preserve">Candidate D</w:t>
            </w:r>
          </w:p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6"/>
                <w:szCs w:val="16"/>
              </w:rPr>
              <w:t xml:space="preserve">Ridgemont;</w:t>
            </w:r>
          </w:p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6"/>
                <w:szCs w:val="16"/>
              </w:rPr>
              <w:t xml:space="preserve">020003961203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D9E2F3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6"/>
                <w:szCs w:val="16"/>
              </w:rPr>
              <w:t xml:space="preserve">Candidate E</w:t>
            </w:r>
          </w:p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6"/>
                <w:szCs w:val="16"/>
              </w:rPr>
              <w:t xml:space="preserve">Ironwood;</w:t>
            </w:r>
          </w:p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6"/>
                <w:szCs w:val="16"/>
              </w:rPr>
              <w:t xml:space="preserve">020003961205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D9E2F3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6"/>
                <w:szCs w:val="16"/>
              </w:rPr>
              <w:t xml:space="preserve">Candidate F</w:t>
            </w:r>
          </w:p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6"/>
                <w:szCs w:val="16"/>
              </w:rPr>
              <w:t xml:space="preserve">Summit;</w:t>
            </w:r>
          </w:p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6"/>
                <w:szCs w:val="16"/>
              </w:rPr>
              <w:t xml:space="preserve">020003961207</w:t>
            </w:r>
          </w:p>
        </w:tc>
      </w:tr>
      <w:tr>
        <w:trPr>
          <w:cantSplit/>
        </w:trPr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8"/>
                <w:szCs w:val="18"/>
              </w:rPr>
              <w:t xml:space="preserve">Ash content</w:t>
            </w:r>
          </w:p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8"/>
                <w:szCs w:val="18"/>
              </w:rPr>
              <w:t xml:space="preserve">(600 °C) [%]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99.5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98.9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99.5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99.5</w:t>
            </w:r>
          </w:p>
        </w:tc>
      </w:tr>
    </w:tbl>
    <w:p>
      <w:pPr>
        <w:spacing w:after="120"/>
      </w:pPr>
      <w:r>
        <w:t xml:space="preserve"/>
      </w:r>
    </w:p>
    <w:p>
      <w:pPr>
        <w:spacing w:after="80" w:before="140"/>
      </w:pPr>
      <w:r>
        <w:rPr>
          <w:rFonts w:ascii="Calibri" w:cs="Calibri" w:eastAsia="Calibri" w:hAnsi="Calibri"/>
          <w:b/>
          <w:bCs/>
          <w:i/>
          <w:iCs/>
          <w:sz w:val="20"/>
          <w:szCs w:val="20"/>
        </w:rPr>
        <w:t xml:space="preserve">3.1.1  Composition and metallic impurity comparison</w:t>
      </w:r>
    </w:p>
    <w:p>
      <w:pPr>
        <w:spacing w:after="80" w:line="280"/>
      </w:pPr>
      <w:r>
        <w:rPr>
          <w:rFonts w:ascii="Calibri" w:cs="Calibri" w:eastAsia="Calibri" w:hAnsi="Calibri"/>
          <w:i/>
          <w:iCs/>
          <w:sz w:val="20"/>
          <w:szCs w:val="20"/>
        </w:rPr>
        <w:t xml:space="preserve">The following constituents were determined by ICP-OES: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1800"/>
        <w:gridCol w:w="1800"/>
        <w:gridCol w:w="1800"/>
        <w:gridCol w:w="1800"/>
      </w:tblGrid>
      <w:tr>
        <w:trPr>
          <w:cantSplit/>
          <w:tblHeader/>
        </w:trPr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D9E2F3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D9E2F3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6"/>
                <w:szCs w:val="16"/>
              </w:rPr>
              <w:t xml:space="preserve">Reference</w:t>
            </w:r>
          </w:p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6"/>
                <w:szCs w:val="16"/>
              </w:rPr>
              <w:t xml:space="preserve">(Current);</w:t>
            </w:r>
          </w:p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6"/>
                <w:szCs w:val="16"/>
              </w:rPr>
              <w:t xml:space="preserve">020003961201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D9E2F3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6"/>
                <w:szCs w:val="16"/>
              </w:rPr>
              <w:t xml:space="preserve">Candidate D</w:t>
            </w:r>
          </w:p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6"/>
                <w:szCs w:val="16"/>
              </w:rPr>
              <w:t xml:space="preserve">Ridgemont;</w:t>
            </w:r>
          </w:p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6"/>
                <w:szCs w:val="16"/>
              </w:rPr>
              <w:t xml:space="preserve">020003961203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D9E2F3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6"/>
                <w:szCs w:val="16"/>
              </w:rPr>
              <w:t xml:space="preserve">Candidate E</w:t>
            </w:r>
          </w:p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6"/>
                <w:szCs w:val="16"/>
              </w:rPr>
              <w:t xml:space="preserve">Ironwood;</w:t>
            </w:r>
          </w:p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6"/>
                <w:szCs w:val="16"/>
              </w:rPr>
              <w:t xml:space="preserve">020003961205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D9E2F3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6"/>
                <w:szCs w:val="16"/>
              </w:rPr>
              <w:t xml:space="preserve">Candidate F</w:t>
            </w:r>
          </w:p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6"/>
                <w:szCs w:val="16"/>
              </w:rPr>
              <w:t xml:space="preserve">Summit;</w:t>
            </w:r>
          </w:p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6"/>
                <w:szCs w:val="16"/>
              </w:rPr>
              <w:t xml:space="preserve">020003961207</w:t>
            </w:r>
          </w:p>
        </w:tc>
      </w:tr>
      <w:tr>
        <w:trPr>
          <w:cantSplit/>
        </w:trPr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8"/>
                <w:szCs w:val="18"/>
              </w:rPr>
              <w:t xml:space="preserve">TiO₂ purity [%]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99.51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98.91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99.51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99.51</w:t>
            </w:r>
          </w:p>
        </w:tc>
      </w:tr>
      <w:tr>
        <w:trPr>
          <w:cantSplit/>
        </w:trPr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8"/>
                <w:szCs w:val="18"/>
              </w:rPr>
              <w:t xml:space="preserve">Iron (Fe) [%]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0.08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0.42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0.08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0.08</w:t>
            </w:r>
          </w:p>
        </w:tc>
      </w:tr>
      <w:tr>
        <w:trPr>
          <w:cantSplit/>
        </w:trPr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8"/>
                <w:szCs w:val="18"/>
              </w:rPr>
              <w:t xml:space="preserve">Aluminium (Al) [%]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0.05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0.18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0.05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0.05</w:t>
            </w:r>
          </w:p>
        </w:tc>
      </w:tr>
      <w:tr>
        <w:trPr>
          <w:cantSplit/>
        </w:trPr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8"/>
                <w:szCs w:val="18"/>
              </w:rPr>
              <w:t xml:space="preserve">Silicon (Si) [%]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0.06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0.21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0.06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0.06</w:t>
            </w:r>
          </w:p>
        </w:tc>
      </w:tr>
      <w:tr>
        <w:trPr>
          <w:cantSplit/>
        </w:trPr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8"/>
                <w:szCs w:val="18"/>
              </w:rPr>
              <w:t xml:space="preserve">Vanadium (V) [ppm]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12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47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12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12</w:t>
            </w:r>
          </w:p>
        </w:tc>
      </w:tr>
      <w:tr>
        <w:trPr>
          <w:cantSplit/>
        </w:trPr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8"/>
                <w:szCs w:val="18"/>
              </w:rPr>
              <w:t xml:space="preserve">Manganese (Mn) [ppm]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8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31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8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8</w:t>
            </w:r>
          </w:p>
        </w:tc>
      </w:tr>
      <w:tr>
        <w:trPr>
          <w:cantSplit/>
        </w:trPr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8"/>
                <w:szCs w:val="18"/>
              </w:rPr>
              <w:t xml:space="preserve">Chromium (Cr) [ppm]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5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18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5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5</w:t>
            </w:r>
          </w:p>
        </w:tc>
      </w:tr>
      <w:tr>
        <w:trPr>
          <w:cantSplit/>
        </w:trPr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8"/>
                <w:szCs w:val="18"/>
              </w:rPr>
              <w:t xml:space="preserve">Rutile content [%]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94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89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94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94</w:t>
            </w:r>
          </w:p>
        </w:tc>
      </w:tr>
    </w:tbl>
    <w:p>
      <w:pPr>
        <w:spacing w:after="120"/>
      </w:pPr>
      <w:r>
        <w:t xml:space="preserve"/>
      </w:r>
    </w:p>
    <w:p>
      <w:pPr>
        <w:spacing w:after="100" w:before="16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3.2  Comparative supplier assessment</w:t>
      </w:r>
    </w:p>
    <w:p>
      <w:pPr>
        <w:spacing w:after="80" w:line="280"/>
      </w:pPr>
      <w:r>
        <w:rPr>
          <w:rFonts w:ascii="Calibri" w:cs="Calibri" w:eastAsia="Calibri" w:hAnsi="Calibri"/>
          <w:sz w:val="20"/>
          <w:szCs w:val="20"/>
        </w:rPr>
        <w:t xml:space="preserve">The four candidate samples were characterised in accordance with the standard supplier qualification protocol. The incumbent reference and acceptable candidates exhibit purity profiles within the established baseline (TiO₂ ≥ 99.5 %, iron ≤ 0.10 %). However, Candidate D — Ridgemont Industrial Pigments shows significantly elevated iron impurity at 0.42 %, more than 5-fold the incumbent baseline, accompanied by elevated aluminium, silicon, vanadium, manganese, and chromium. While the overall TiO₂ purity (98.9 %) remains acceptable for many applications, the elevated metallic impurity load is a concern: residual iron in TiO₂ feedstock has been observed historically to translate into measurable iron content in finished coatings, particularly in high-pigment-loading systems. Recommendation: Candidate D — Ridgemont Industrial Pigments should not be approved for the 2K-PU clearcoat production line without further finished-product impact assessment.</w:t>
      </w:r>
    </w:p>
    <w:p>
      <w:pPr>
        <w:spacing w:after="80" w:before="24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Costs of analysis:  2,240.00 USD</w:t>
      </w:r>
    </w:p>
    <w:sectPr>
      <w:headerReference w:type="default" r:id="rId7"/>
      <w:footerReference w:type="default" r:id="rId8"/>
      <w:pgSz w:w="12240" w:h="15840" w:orient="portrait"/>
      <w:pgMar w:top="1200" w:right="1200" w:bottom="1200" w:left="12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left"/>
    </w:pPr>
    <w:r>
      <w:rPr>
        <w:rFonts w:ascii="Calibri" w:cs="Calibri" w:eastAsia="Calibri" w:hAnsi="Calibri"/>
        <w:color w:val="7F7F7F"/>
        <w:sz w:val="16"/>
        <w:szCs w:val="16"/>
      </w:rPr>
      <w:t xml:space="preserve">Report-no:  US2025-0617 640000312418</w:t>
    </w:r>
    <w:r>
      <w:rPr>
        <w:sz w:val="16"/>
        <w:szCs w:val="16"/>
      </w:rPr>
      <w:t xml:space="preserve">		</w:t>
    </w:r>
    <w:r>
      <w:rPr>
        <w:rFonts w:ascii="Calibri" w:cs="Calibri" w:eastAsia="Calibri" w:hAnsi="Calibri"/>
        <w:color w:val="7F7F7F"/>
        <w:sz w:val="16"/>
        <w:szCs w:val="16"/>
      </w:rPr>
      <w:t xml:space="preserve">Page </w:t>
    </w:r>
    <w:r>
      <w:rPr>
        <w:rFonts w:ascii="Calibri" w:cs="Calibri" w:eastAsia="Calibri" w:hAnsi="Calibri"/>
        <w:color w:val="7F7F7F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7F7F7F"/>
        <w:sz w:val="16"/>
        <w:szCs w:val="16"/>
      </w:rPr>
      <w:t xml:space="preserve"> of </w:t>
    </w:r>
    <w:r>
      <w:rPr>
        <w:rFonts w:ascii="Calibri" w:cs="Calibri" w:eastAsia="Calibri" w:hAnsi="Calibri"/>
        <w:color w:val="7F7F7F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Calibri" w:cs="Calibri" w:eastAsia="Calibri" w:hAnsi="Calibri"/>
        <w:color w:val="7F7F7F"/>
        <w:sz w:val="16"/>
        <w:szCs w:val="16"/>
      </w:rPr>
      <w:t xml:space="preserve">Meridian Analytical Laboratories  |  1840 Innovation Drive, Wilmington, DE 19801, USA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footnotes" Target="footnote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customXml" Target="../customXml/item1.xml"/><Relationship Id="rId4" Type="http://schemas.openxmlformats.org/officeDocument/2006/relationships/endnotes" Target="endnotes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8E32C98A9E5C43B8402AF89C8CF7BA" ma:contentTypeVersion="25" ma:contentTypeDescription="Create a new document." ma:contentTypeScope="" ma:versionID="0eb876bdcc1e2c07f9720625181e20c8">
  <xsd:schema xmlns:xsd="http://www.w3.org/2001/XMLSchema" xmlns:xs="http://www.w3.org/2001/XMLSchema" xmlns:p="http://schemas.microsoft.com/office/2006/metadata/properties" xmlns:ns2="b8a28264-3c00-4a77-9fda-506e2d365606" xmlns:ns3="a5d612e4-2c29-4bc8-b0f0-f93d8306f3b2" targetNamespace="http://schemas.microsoft.com/office/2006/metadata/properties" ma:root="true" ma:fieldsID="3ae7d608abefeecd0ae76ffb2e678e34" ns2:_="" ns3:_="">
    <xsd:import namespace="b8a28264-3c00-4a77-9fda-506e2d365606"/>
    <xsd:import namespace="a5d612e4-2c29-4bc8-b0f0-f93d8306f3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BillingMetadata" minOccurs="0"/>
                <xsd:element ref="ns2:MediaServiceLocation" minOccurs="0"/>
                <xsd:element ref="ns2:Handler" minOccurs="0"/>
                <xsd:element ref="ns2:Own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a28264-3c00-4a77-9fda-506e2d3656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e639c09-72eb-486f-aabc-247b384157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Handler" ma:index="27" nillable="true" ma:displayName="Handler" ma:description="who is taking care of this profile" ma:format="Dropdown" ma:list="UserInfo" ma:SharePointGroup="0" ma:internalName="Handl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Owner" ma:index="28" nillable="true" ma:displayName="Owner" ma:format="Dropdown" ma:internalName="Owner">
      <xsd:simpleType>
        <xsd:restriction base="dms:Choice">
          <xsd:enumeration value="Purbasha"/>
          <xsd:enumeration value="Parikshith"/>
          <xsd:enumeration value="Suraj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d612e4-2c29-4bc8-b0f0-f93d8306f3b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649a72c-497a-44e9-9db0-3c25a067ab98}" ma:internalName="TaxCatchAll" ma:showField="CatchAllData" ma:web="a5d612e4-2c29-4bc8-b0f0-f93d8306f3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5d612e4-2c29-4bc8-b0f0-f93d8306f3b2" xsi:nil="true"/>
    <lcf76f155ced4ddcb4097134ff3c332f xmlns="b8a28264-3c00-4a77-9fda-506e2d365606">
      <Terms xmlns="http://schemas.microsoft.com/office/infopath/2007/PartnerControls"/>
    </lcf76f155ced4ddcb4097134ff3c332f>
    <Handler xmlns="b8a28264-3c00-4a77-9fda-506e2d365606">
      <UserInfo>
        <DisplayName/>
        <AccountId xsi:nil="true"/>
        <AccountType/>
      </UserInfo>
    </Handler>
    <Owner xmlns="b8a28264-3c00-4a77-9fda-506e2d365606" xsi:nil="true"/>
  </documentManagement>
</p:properties>
</file>

<file path=customXml/itemProps1.xml><?xml version="1.0" encoding="utf-8"?>
<ds:datastoreItem xmlns:ds="http://schemas.openxmlformats.org/officeDocument/2006/customXml" ds:itemID="{F4C300DD-1F8A-41B4-83DA-71B13A32AE0F}"/>
</file>

<file path=customXml/itemProps2.xml><?xml version="1.0" encoding="utf-8"?>
<ds:datastoreItem xmlns:ds="http://schemas.openxmlformats.org/officeDocument/2006/customXml" ds:itemID="{00F2F909-BA39-4357-9960-BD8B7B0108CA}"/>
</file>

<file path=customXml/itemProps3.xml><?xml version="1.0" encoding="utf-8"?>
<ds:datastoreItem xmlns:ds="http://schemas.openxmlformats.org/officeDocument/2006/customXml" ds:itemID="{206085E5-1DAF-465F-B5E4-D51224298165}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Analytical Report US2025-0617</dc:title>
  <dc:creator>Meridian Analytical Laboratories</dc:creator>
  <cp:lastModifiedBy>Un-named</cp:lastModifiedBy>
  <cp:revision>1</cp:revision>
  <dcterms:created xsi:type="dcterms:W3CDTF">2026-04-29T13:34:56Z</dcterms:created>
  <dcterms:modified xsi:type="dcterms:W3CDTF">2026-04-29T13:34:56Z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0x010100938E32C98A9E5C43B8402AF89C8CF7BA</vt:lpwstr>
  </property>
  <property fmtid="{D5CDD505-2E9C-101B-9397-08002B2CF9AE}" pid="3" name="MediaServiceImageTags">
    <vt:lpwstr/>
  </property>
</Properties>
</file>