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Patricia Hayes</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12-08-2025</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US2025-0492</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640000305219</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WB Basecoat Reference Standard #R5712; 020003952401</w:t>
      </w:r>
    </w:p>
    <w:p>
      <w:pPr>
        <w:spacing w:after="120" w:line="280"/>
      </w:pPr>
      <w:r>
        <w:rPr>
          <w:rFonts w:ascii="Calibri" w:cs="Calibri" w:eastAsia="Calibri" w:hAnsi="Calibri"/>
          <w:sz w:val="20"/>
          <w:szCs w:val="20"/>
        </w:rPr>
        <w:t xml:space="preserve">WB Basecoat #30083247108; 020003952403</w:t>
      </w:r>
    </w:p>
    <w:p>
      <w:pPr>
        <w:spacing w:after="120" w:line="280"/>
      </w:pPr>
      <w:r>
        <w:rPr>
          <w:rFonts w:ascii="Calibri" w:cs="Calibri" w:eastAsia="Calibri" w:hAnsi="Calibri"/>
          <w:sz w:val="20"/>
          <w:szCs w:val="20"/>
        </w:rPr>
        <w:t xml:space="preserve">WB Basecoat #30083247109; 020003952405</w:t>
      </w:r>
    </w:p>
    <w:p>
      <w:pPr>
        <w:spacing w:after="120" w:line="280"/>
      </w:pPr>
      <w:r>
        <w:rPr>
          <w:rFonts w:ascii="Calibri" w:cs="Calibri" w:eastAsia="Calibri" w:hAnsi="Calibri"/>
          <w:sz w:val="20"/>
          <w:szCs w:val="20"/>
        </w:rPr>
        <w:t xml:space="preserve">WB Basecoat #30083247110; 020003952407</w:t>
      </w:r>
    </w:p>
    <w:p>
      <w:pPr>
        <w:spacing w:after="40" w:before="120"/>
      </w:pPr>
      <w:r>
        <w:rPr>
          <w:rFonts w:ascii="Calibri" w:cs="Calibri" w:eastAsia="Calibri" w:hAnsi="Calibri"/>
          <w:i/>
          <w:iCs/>
          <w:sz w:val="20"/>
          <w:szCs w:val="20"/>
        </w:rPr>
        <w:t xml:space="preserve">Date of request:  29-07-2025</w:t>
      </w:r>
    </w:p>
    <w:p>
      <w:pPr>
        <w:spacing w:after="200"/>
      </w:pPr>
      <w:r>
        <w:rPr>
          <w:rFonts w:ascii="Calibri" w:cs="Calibri" w:eastAsia="Calibri" w:hAnsi="Calibri"/>
          <w:i/>
          <w:iCs/>
          <w:sz w:val="20"/>
          <w:szCs w:val="20"/>
        </w:rPr>
        <w:t xml:space="preserve">Receipt of order:  05-08-2025</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12-08-2025, our laboratory received four samples submitted by Crestline Auto Refinish for comprehensive analytical characterisation. The samples comprise one reference standard and three production batches of waterborne basecoat, provided for compositional analysis and verification against internal specifications and customer release criteria. In order to fully characterise the submitted materials,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Determination of pigment composition by ICP-OES.</w:t>
      </w:r>
    </w:p>
    <w:p>
      <w:pPr>
        <w:pStyle w:val="ListParagraph"/>
        <w:numPr>
          <w:ilvl w:val="0"/>
          <w:numId w:val="2"/>
        </w:numPr>
        <w:spacing w:after="60"/>
      </w:pPr>
      <w:r>
        <w:rPr>
          <w:rFonts w:ascii="Calibri" w:cs="Calibri" w:eastAsia="Calibri" w:hAnsi="Calibri"/>
          <w:sz w:val="20"/>
          <w:szCs w:val="20"/>
        </w:rPr>
        <w:t xml:space="preserve">Qualitative elemental screening by X-ray fluorescence (XRF).</w:t>
      </w:r>
    </w:p>
    <w:p>
      <w:pPr>
        <w:pStyle w:val="ListParagraph"/>
        <w:numPr>
          <w:ilvl w:val="0"/>
          <w:numId w:val="2"/>
        </w:numPr>
        <w:spacing w:after="60"/>
      </w:pPr>
      <w:r>
        <w:rPr>
          <w:rFonts w:ascii="Calibri" w:cs="Calibri" w:eastAsia="Calibri" w:hAnsi="Calibri"/>
          <w:sz w:val="20"/>
          <w:szCs w:val="20"/>
        </w:rPr>
        <w:t xml:space="preserve">Determination of water-soluble inorganic components by ICP-OES on aqueous extract.</w:t>
      </w:r>
    </w:p>
    <w:p>
      <w:pPr>
        <w:pStyle w:val="ListParagraph"/>
        <w:numPr>
          <w:ilvl w:val="0"/>
          <w:numId w:val="2"/>
        </w:numPr>
        <w:spacing w:after="60"/>
      </w:pPr>
      <w:r>
        <w:rPr>
          <w:rFonts w:ascii="Calibri" w:cs="Calibri" w:eastAsia="Calibri" w:hAnsi="Calibri"/>
          <w:sz w:val="20"/>
          <w:szCs w:val="20"/>
        </w:rPr>
        <w:t xml:space="preserve">Characterisation of binder system by Fourier-transform infrared spectroscopy (FTIR).</w:t>
      </w:r>
    </w:p>
    <w:p>
      <w:pPr>
        <w:pStyle w:val="ListParagraph"/>
        <w:numPr>
          <w:ilvl w:val="0"/>
          <w:numId w:val="2"/>
        </w:numPr>
        <w:spacing w:after="120"/>
      </w:pPr>
      <w:r>
        <w:rPr>
          <w:rFonts w:ascii="Calibri" w:cs="Calibri" w:eastAsia="Calibri" w:hAnsi="Calibri"/>
          <w:sz w:val="20"/>
          <w:szCs w:val="20"/>
        </w:rPr>
        <w:t xml:space="preserve">Particle size distribution by laser diffraction.</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Inorganic analysis</w:t>
      </w:r>
    </w:p>
    <w:p>
      <w:pPr>
        <w:spacing w:after="80" w:line="280"/>
      </w:pPr>
      <w:r>
        <w:rPr>
          <w:rFonts w:ascii="Calibri" w:cs="Calibri" w:eastAsia="Calibri" w:hAnsi="Calibri"/>
          <w:sz w:val="20"/>
          <w:szCs w:val="20"/>
        </w:rPr>
        <w:t xml:space="preserve">The inorganic constituents of the four submitted samples were characterised by a combination of gravimetric and spectroscopic techniques. Particle size distribution was measured by laser diffraction. The results are summarised below.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#R5712;</w:t>
            </w:r>
          </w:p>
          <w:p>
            <w:pPr>
              <w:spacing w:after="0" w:line="240"/>
              <w:jc w:val="center"/>
            </w:pPr>
            <w:r>
              <w:rPr>
                <w:rFonts w:ascii="Calibri" w:cs="Calibri" w:eastAsia="Calibri" w:hAnsi="Calibri"/>
                <w:b/>
                <w:bCs/>
                <w:i w:val="false"/>
                <w:iCs w:val="false"/>
                <w:sz w:val="16"/>
                <w:szCs w:val="16"/>
              </w:rPr>
              <w:t xml:space="preserve">020003952401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#30083247108;</w:t>
            </w:r>
          </w:p>
          <w:p>
            <w:pPr>
              <w:spacing w:after="0" w:line="240"/>
              <w:jc w:val="center"/>
            </w:pPr>
            <w:r>
              <w:rPr>
                <w:rFonts w:ascii="Calibri" w:cs="Calibri" w:eastAsia="Calibri" w:hAnsi="Calibri"/>
                <w:b/>
                <w:bCs/>
                <w:i w:val="false"/>
                <w:iCs w:val="false"/>
                <w:sz w:val="16"/>
                <w:szCs w:val="16"/>
              </w:rPr>
              <w:t xml:space="preserve">020003952403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#30083247109;</w:t>
            </w:r>
          </w:p>
          <w:p>
            <w:pPr>
              <w:spacing w:after="0" w:line="240"/>
              <w:jc w:val="center"/>
            </w:pPr>
            <w:r>
              <w:rPr>
                <w:rFonts w:ascii="Calibri" w:cs="Calibri" w:eastAsia="Calibri" w:hAnsi="Calibri"/>
                <w:b/>
                <w:bCs/>
                <w:i w:val="false"/>
                <w:iCs w:val="false"/>
                <w:sz w:val="16"/>
                <w:szCs w:val="16"/>
              </w:rPr>
              <w:t xml:space="preserve">020003952405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#30083247110;</w:t>
            </w:r>
          </w:p>
          <w:p>
            <w:pPr>
              <w:spacing w:after="0" w:line="240"/>
              <w:jc w:val="center"/>
            </w:pPr>
            <w:r>
              <w:rPr>
                <w:rFonts w:ascii="Calibri" w:cs="Calibri" w:eastAsia="Calibri" w:hAnsi="Calibri"/>
                <w:b/>
                <w:bCs/>
                <w:i w:val="false"/>
                <w:iCs w:val="false"/>
                <w:sz w:val="16"/>
                <w:szCs w:val="16"/>
              </w:rPr>
              <w:t xml:space="preserve">020003952407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8.9</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8.6</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9.1</w:t>
            </w:r>
          </w:p>
        </w:tc>
      </w:tr>
    </w:tbl>
    <w:p>
      <w:pPr>
        <w:spacing w:after="120"/>
      </w:pPr>
      <w:r>
        <w:t xml:space="preserve"/>
      </w:r>
    </w:p>
    <w:p>
      <w:pPr>
        <w:spacing w:after="80" w:before="140"/>
      </w:pPr>
      <w:r>
        <w:rPr>
          <w:rFonts w:ascii="Calibri" w:cs="Calibri" w:eastAsia="Calibri" w:hAnsi="Calibri"/>
          <w:b/>
          <w:bCs/>
          <w:i/>
          <w:iCs/>
          <w:sz w:val="20"/>
          <w:szCs w:val="20"/>
        </w:rPr>
        <w:t xml:space="preserve">3.1.1  Composition of the total material</w:t>
      </w:r>
    </w:p>
    <w:p>
      <w:pPr>
        <w:spacing w:after="80" w:line="280"/>
      </w:pPr>
      <w:r>
        <w:rPr>
          <w:rFonts w:ascii="Calibri" w:cs="Calibri" w:eastAsia="Calibri" w:hAnsi="Calibri"/>
          <w:sz w:val="20"/>
          <w:szCs w:val="20"/>
        </w:rPr>
        <w:t xml:space="preserve">The acid digests of the four samples were analysed by ICP-OES; particle size measurements were performed by laser diffraction. Quantitative values are expressed as mass percentage (% w/w).</w:t>
      </w:r>
    </w:p>
    <w:p>
      <w:pPr>
        <w:spacing w:after="80" w:line="280"/>
      </w:pPr>
      <w:r>
        <w:rPr>
          <w:rFonts w:ascii="Calibri" w:cs="Calibri" w:eastAsia="Calibri" w:hAnsi="Calibri"/>
          <w:i/>
          <w:iCs/>
          <w:sz w:val="20"/>
          <w:szCs w:val="20"/>
        </w:rPr>
        <w:t xml:space="preserve">The following elements were detected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#R5712;</w:t>
            </w:r>
          </w:p>
          <w:p>
            <w:pPr>
              <w:spacing w:after="0" w:line="240"/>
              <w:jc w:val="center"/>
            </w:pPr>
            <w:r>
              <w:rPr>
                <w:rFonts w:ascii="Calibri" w:cs="Calibri" w:eastAsia="Calibri" w:hAnsi="Calibri"/>
                <w:b/>
                <w:bCs/>
                <w:i w:val="false"/>
                <w:iCs w:val="false"/>
                <w:sz w:val="16"/>
                <w:szCs w:val="16"/>
              </w:rPr>
              <w:t xml:space="preserve">020003952401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#30083247108;</w:t>
            </w:r>
          </w:p>
          <w:p>
            <w:pPr>
              <w:spacing w:after="0" w:line="240"/>
              <w:jc w:val="center"/>
            </w:pPr>
            <w:r>
              <w:rPr>
                <w:rFonts w:ascii="Calibri" w:cs="Calibri" w:eastAsia="Calibri" w:hAnsi="Calibri"/>
                <w:b/>
                <w:bCs/>
                <w:i w:val="false"/>
                <w:iCs w:val="false"/>
                <w:sz w:val="16"/>
                <w:szCs w:val="16"/>
              </w:rPr>
              <w:t xml:space="preserve">020003952403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#30083247109;</w:t>
            </w:r>
          </w:p>
          <w:p>
            <w:pPr>
              <w:spacing w:after="0" w:line="240"/>
              <w:jc w:val="center"/>
            </w:pPr>
            <w:r>
              <w:rPr>
                <w:rFonts w:ascii="Calibri" w:cs="Calibri" w:eastAsia="Calibri" w:hAnsi="Calibri"/>
                <w:b/>
                <w:bCs/>
                <w:i w:val="false"/>
                <w:iCs w:val="false"/>
                <w:sz w:val="16"/>
                <w:szCs w:val="16"/>
              </w:rPr>
              <w:t xml:space="preserve">020003952405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#30083247110;</w:t>
            </w:r>
          </w:p>
          <w:p>
            <w:pPr>
              <w:spacing w:after="0" w:line="240"/>
              <w:jc w:val="center"/>
            </w:pPr>
            <w:r>
              <w:rPr>
                <w:rFonts w:ascii="Calibri" w:cs="Calibri" w:eastAsia="Calibri" w:hAnsi="Calibri"/>
                <w:b/>
                <w:bCs/>
                <w:i w:val="false"/>
                <w:iCs w:val="false"/>
                <w:sz w:val="16"/>
                <w:szCs w:val="16"/>
              </w:rPr>
              <w:t xml:space="preserve">020003952407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Titanium (Ti)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3.91 %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3.84 %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3.96 %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1.47 %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1.42 %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1.51 %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0.10 %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Barium (Ba)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n.d.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Sulphur (S)</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Particle size D50 [nm]</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165</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168</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162</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 elements</w:t>
            </w:r>
          </w:p>
          <w:p>
            <w:pPr>
              <w:spacing w:after="0" w:line="240"/>
              <w:jc w:val="left"/>
            </w:pPr>
            <w:r>
              <w:rPr>
                <w:rFonts w:ascii="Calibri" w:cs="Calibri" w:eastAsia="Calibri" w:hAnsi="Calibri"/>
                <w:b/>
                <w:bCs/>
                <w:i/>
                <w:iCs/>
                <w:sz w:val="16"/>
                <w:szCs w:val="16"/>
              </w:rPr>
              <w:t xml:space="preserve">by XRF</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Si, Ca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Ba, S</w:t>
            </w:r>
          </w:p>
        </w:tc>
      </w:tr>
    </w:tbl>
    <w:p>
      <w:pPr>
        <w:spacing w:after="120"/>
      </w:pPr>
      <w:r>
        <w:t xml:space="preserve"/>
      </w:r>
    </w:p>
    <w:p>
      <w:pPr>
        <w:spacing w:after="80" w:before="140"/>
      </w:pPr>
      <w:r>
        <w:rPr>
          <w:rFonts w:ascii="Calibri" w:cs="Calibri" w:eastAsia="Calibri" w:hAnsi="Calibri"/>
          <w:b/>
          <w:bCs/>
          <w:i/>
          <w:iCs/>
          <w:sz w:val="20"/>
          <w:szCs w:val="20"/>
        </w:rPr>
        <w:t xml:space="preserve">3.1.2  Analysis of inorganic water-soluble components</w:t>
      </w:r>
    </w:p>
    <w:p>
      <w:pPr>
        <w:spacing w:after="80" w:line="280"/>
      </w:pPr>
      <w:r>
        <w:rPr>
          <w:rFonts w:ascii="Calibri" w:cs="Calibri" w:eastAsia="Calibri" w:hAnsi="Calibri"/>
          <w:i/>
          <w:iCs/>
          <w:sz w:val="20"/>
          <w:szCs w:val="20"/>
        </w:rPr>
        <w:t xml:space="preserve">The following elements could be determined in the aqueous extract: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#R5712;</w:t>
            </w:r>
          </w:p>
          <w:p>
            <w:pPr>
              <w:spacing w:after="0" w:line="240"/>
              <w:jc w:val="center"/>
            </w:pPr>
            <w:r>
              <w:rPr>
                <w:rFonts w:ascii="Calibri" w:cs="Calibri" w:eastAsia="Calibri" w:hAnsi="Calibri"/>
                <w:b/>
                <w:bCs/>
                <w:i w:val="false"/>
                <w:iCs w:val="false"/>
                <w:sz w:val="16"/>
                <w:szCs w:val="16"/>
              </w:rPr>
              <w:t xml:space="preserve">020003952401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#30083247108;</w:t>
            </w:r>
          </w:p>
          <w:p>
            <w:pPr>
              <w:spacing w:after="0" w:line="240"/>
              <w:jc w:val="center"/>
            </w:pPr>
            <w:r>
              <w:rPr>
                <w:rFonts w:ascii="Calibri" w:cs="Calibri" w:eastAsia="Calibri" w:hAnsi="Calibri"/>
                <w:b/>
                <w:bCs/>
                <w:i w:val="false"/>
                <w:iCs w:val="false"/>
                <w:sz w:val="16"/>
                <w:szCs w:val="16"/>
              </w:rPr>
              <w:t xml:space="preserve">020003952403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#30083247109;</w:t>
            </w:r>
          </w:p>
          <w:p>
            <w:pPr>
              <w:spacing w:after="0" w:line="240"/>
              <w:jc w:val="center"/>
            </w:pPr>
            <w:r>
              <w:rPr>
                <w:rFonts w:ascii="Calibri" w:cs="Calibri" w:eastAsia="Calibri" w:hAnsi="Calibri"/>
                <w:b/>
                <w:bCs/>
                <w:i w:val="false"/>
                <w:iCs w:val="false"/>
                <w:sz w:val="16"/>
                <w:szCs w:val="16"/>
              </w:rPr>
              <w:t xml:space="preserve">020003952405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Basecoat</w:t>
            </w:r>
          </w:p>
          <w:p>
            <w:pPr>
              <w:spacing w:after="0" w:line="240"/>
              <w:jc w:val="center"/>
            </w:pPr>
            <w:r>
              <w:rPr>
                <w:rFonts w:ascii="Calibri" w:cs="Calibri" w:eastAsia="Calibri" w:hAnsi="Calibri"/>
                <w:b/>
                <w:bCs/>
                <w:i w:val="false"/>
                <w:iCs w:val="false"/>
                <w:sz w:val="16"/>
                <w:szCs w:val="16"/>
              </w:rPr>
              <w:t xml:space="preserve">#30083247110;</w:t>
            </w:r>
          </w:p>
          <w:p>
            <w:pPr>
              <w:spacing w:after="0" w:line="240"/>
              <w:jc w:val="center"/>
            </w:pPr>
            <w:r>
              <w:rPr>
                <w:rFonts w:ascii="Calibri" w:cs="Calibri" w:eastAsia="Calibri" w:hAnsi="Calibri"/>
                <w:b/>
                <w:bCs/>
                <w:i w:val="false"/>
                <w:iCs w:val="false"/>
                <w:sz w:val="16"/>
                <w:szCs w:val="16"/>
              </w:rPr>
              <w:t xml:space="preserve">020003952407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Sodium (Na)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7.1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Potassium (K)</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5.1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1.4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3.5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4.4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Nitrate (NO₃⁻)</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 mg/l</w:t>
            </w:r>
          </w:p>
        </w:tc>
      </w:tr>
    </w:tbl>
    <w:p>
      <w:pPr>
        <w:spacing w:after="120"/>
      </w:pPr>
      <w:r>
        <w:t xml:space="preserve"/>
      </w:r>
    </w:p>
    <w:p>
      <w:pPr>
        <w:spacing w:after="100" w:before="160"/>
      </w:pPr>
      <w:r>
        <w:rPr>
          <w:rFonts w:ascii="Calibri" w:cs="Calibri" w:eastAsia="Calibri" w:hAnsi="Calibri"/>
          <w:b/>
          <w:bCs/>
          <w:sz w:val="22"/>
          <w:szCs w:val="22"/>
        </w:rPr>
        <w:t xml:space="preserve">3.2  Binder characterisation and findings</w:t>
      </w:r>
    </w:p>
    <w:p>
      <w:pPr>
        <w:spacing w:after="80" w:line="280"/>
      </w:pPr>
      <w:r>
        <w:rPr>
          <w:rFonts w:ascii="Calibri" w:cs="Calibri" w:eastAsia="Calibri" w:hAnsi="Calibri"/>
          <w:sz w:val="20"/>
          <w:szCs w:val="20"/>
        </w:rPr>
        <w:t xml:space="preserve">The solvent extracts of the four submitted samples were characterised by FTIR in the spectral range 4000–650 cm⁻¹. The reference and three production batches all displayed binder fingerprints consistent with a waterborne acrylic-urethane basecoat formulation. However, titanium content in the production batches (3.91 / 3.84 / 3.96 %) is below the historical baseline of 4.0–4.2 % expected for this grade. The reduction translates to a TiO₂ pigment loading approximately 4–7 % below specification, which may produce visible colour and hiding-power deviations in customer application. Recommended action: review the high-shear pigment dispersion line and verify pigment dosing calibration for the production period in question.</w:t>
      </w:r>
    </w:p>
    <w:p>
      <w:pPr>
        <w:spacing w:after="80" w:before="240"/>
      </w:pPr>
      <w:r>
        <w:rPr>
          <w:rFonts w:ascii="Calibri" w:cs="Calibri" w:eastAsia="Calibri" w:hAnsi="Calibri"/>
          <w:b/>
          <w:bCs/>
          <w:sz w:val="20"/>
          <w:szCs w:val="20"/>
        </w:rPr>
        <w:t xml:space="preserve">Costs of analysis:  1,650.00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US2025-0492 640000305219</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751873DA-4B58-47C0-89E4-55E2ED3DF2B5}"/>
</file>

<file path=customXml/itemProps2.xml><?xml version="1.0" encoding="utf-8"?>
<ds:datastoreItem xmlns:ds="http://schemas.openxmlformats.org/officeDocument/2006/customXml" ds:itemID="{89852EEF-5361-44AD-B723-6DB09BB8366D}"/>
</file>

<file path=customXml/itemProps3.xml><?xml version="1.0" encoding="utf-8"?>
<ds:datastoreItem xmlns:ds="http://schemas.openxmlformats.org/officeDocument/2006/customXml" ds:itemID="{3A760B4B-0EDB-4024-9B6B-D2C299AF38F4}"/>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US2025-0492</dc:title>
  <dc:creator>Meridian Analytical Laboratories</dc:creator>
  <cp:lastModifiedBy>Un-named</cp:lastModifiedBy>
  <cp:revision>1</cp:revision>
  <dcterms:created xsi:type="dcterms:W3CDTF">2026-04-29T13:34:55Z</dcterms:created>
  <dcterms:modified xsi:type="dcterms:W3CDTF">2026-04-29T13:34:55Z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