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word/footnotes.xml" ContentType="application/vnd.openxmlformats-officedocument.wordprocessingml.footnotes+xml"/>
  <Override PartName="/word/endnotes.xml" ContentType="application/vnd.openxmlformats-officedocument.wordprocessingml.endnotes+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tabs>
          <w:tab w:val="right" w:pos="9000"/>
        </w:tabs>
        <w:spacing w:after="40"/>
      </w:pPr>
      <w:r>
        <w:rPr>
          <w:rFonts w:ascii="Calibri" w:cs="Calibri" w:eastAsia="Calibri" w:hAnsi="Calibri"/>
          <w:sz w:val="20"/>
          <w:szCs w:val="20"/>
        </w:rPr>
        <w:t xml:space="preserve">ECO/TN   Brian Caldwell</w:t>
      </w:r>
      <w:r>
        <w:rPr>
          <w:rFonts w:ascii="Calibri" w:cs="Calibri" w:eastAsia="Calibri" w:hAnsi="Calibri"/>
          <w:sz w:val="20"/>
          <w:szCs w:val="20"/>
        </w:rPr>
        <w:t xml:space="preserve">	</w:t>
      </w:r>
      <w:r>
        <w:rPr>
          <w:rFonts w:ascii="Calibri" w:cs="Calibri" w:eastAsia="Calibri" w:hAnsi="Calibri"/>
          <w:b w:val="false"/>
          <w:bCs w:val="false"/>
          <w:sz w:val="20"/>
          <w:szCs w:val="20"/>
        </w:rPr>
        <w:t xml:space="preserve">ECO/AC</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Dr. Samuel Whitaker</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Tel.  +1 302 555-0148</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Date  17-10-2024</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bCs/>
          <w:sz w:val="20"/>
          <w:szCs w:val="20"/>
        </w:rPr>
        <w:t xml:space="preserve">Report-no:  US2024-0856</w:t>
      </w:r>
    </w:p>
    <w:p>
      <w:pPr>
        <w:tabs>
          <w:tab w:val="right" w:pos="9000"/>
        </w:tabs>
        <w:spacing w:after="2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bCs/>
          <w:sz w:val="20"/>
          <w:szCs w:val="20"/>
        </w:rPr>
        <w:t xml:space="preserve">640000269437</w:t>
      </w:r>
    </w:p>
    <w:p>
      <w:pPr>
        <w:spacing w:after="240" w:before="120"/>
        <w:jc w:val="center"/>
      </w:pPr>
      <w:r>
        <w:rPr>
          <w:rFonts w:ascii="Calibri" w:cs="Calibri" w:eastAsia="Calibri" w:hAnsi="Calibri"/>
          <w:b/>
          <w:bCs/>
          <w:color w:val="C00000"/>
          <w:sz w:val="24"/>
          <w:szCs w:val="24"/>
        </w:rPr>
        <w:t xml:space="preserve">Confidential – only for internal use!</w:t>
      </w:r>
    </w:p>
    <w:p>
      <w:pPr>
        <w:spacing w:after="160"/>
      </w:pPr>
      <w:r>
        <w:rPr>
          <w:rFonts w:ascii="Calibri" w:cs="Calibri" w:eastAsia="Calibri" w:hAnsi="Calibri"/>
          <w:b/>
          <w:bCs/>
          <w:sz w:val="22"/>
          <w:szCs w:val="22"/>
        </w:rPr>
        <w:t xml:space="preserve">Result of the analytical investigation of the samples:</w:t>
      </w:r>
    </w:p>
    <w:p>
      <w:pPr>
        <w:spacing w:after="120" w:line="280"/>
      </w:pPr>
      <w:r>
        <w:rPr>
          <w:rFonts w:ascii="Calibri" w:cs="Calibri" w:eastAsia="Calibri" w:hAnsi="Calibri"/>
          <w:sz w:val="20"/>
          <w:szCs w:val="20"/>
        </w:rPr>
        <w:t xml:space="preserve">Zn-Rich Epoxy Primer Reference Standard #R4912; 020003915304</w:t>
      </w:r>
    </w:p>
    <w:p>
      <w:pPr>
        <w:spacing w:after="120" w:line="280"/>
      </w:pPr>
      <w:r>
        <w:rPr>
          <w:rFonts w:ascii="Calibri" w:cs="Calibri" w:eastAsia="Calibri" w:hAnsi="Calibri"/>
          <w:sz w:val="20"/>
          <w:szCs w:val="20"/>
        </w:rPr>
        <w:t xml:space="preserve">Zn-Rich Epoxy Primer #30070234518; 020003915306</w:t>
      </w:r>
    </w:p>
    <w:p>
      <w:pPr>
        <w:spacing w:after="120" w:line="280"/>
      </w:pPr>
      <w:r>
        <w:rPr>
          <w:rFonts w:ascii="Calibri" w:cs="Calibri" w:eastAsia="Calibri" w:hAnsi="Calibri"/>
          <w:sz w:val="20"/>
          <w:szCs w:val="20"/>
        </w:rPr>
        <w:t xml:space="preserve">Zn-Rich Epoxy Primer #30070234519; 020003915308</w:t>
      </w:r>
    </w:p>
    <w:p>
      <w:pPr>
        <w:spacing w:after="120" w:line="280"/>
      </w:pPr>
      <w:r>
        <w:rPr>
          <w:rFonts w:ascii="Calibri" w:cs="Calibri" w:eastAsia="Calibri" w:hAnsi="Calibri"/>
          <w:sz w:val="20"/>
          <w:szCs w:val="20"/>
        </w:rPr>
        <w:t xml:space="preserve">Zn-Rich Epoxy Primer #30070234520; 020003915310</w:t>
      </w:r>
    </w:p>
    <w:p>
      <w:pPr>
        <w:spacing w:after="40" w:before="120"/>
      </w:pPr>
      <w:r>
        <w:rPr>
          <w:rFonts w:ascii="Calibri" w:cs="Calibri" w:eastAsia="Calibri" w:hAnsi="Calibri"/>
          <w:i/>
          <w:iCs/>
          <w:sz w:val="20"/>
          <w:szCs w:val="20"/>
        </w:rPr>
        <w:t xml:space="preserve">Date of request:  04-10-2024</w:t>
      </w:r>
    </w:p>
    <w:p>
      <w:pPr>
        <w:spacing w:after="200"/>
      </w:pPr>
      <w:r>
        <w:rPr>
          <w:rFonts w:ascii="Calibri" w:cs="Calibri" w:eastAsia="Calibri" w:hAnsi="Calibri"/>
          <w:i/>
          <w:iCs/>
          <w:sz w:val="20"/>
          <w:szCs w:val="20"/>
        </w:rPr>
        <w:t xml:space="preserve">Receipt of order:  10-10-2024</w:t>
      </w:r>
    </w:p>
    <w:p>
      <w:pPr>
        <w:spacing w:after="120" w:before="200"/>
      </w:pPr>
      <w:r>
        <w:rPr>
          <w:rFonts w:ascii="Calibri" w:cs="Calibri" w:eastAsia="Calibri" w:hAnsi="Calibri"/>
          <w:b/>
          <w:bCs/>
          <w:sz w:val="24"/>
          <w:szCs w:val="24"/>
        </w:rPr>
        <w:t xml:space="preserve">1.  General introduction</w:t>
      </w:r>
    </w:p>
    <w:p>
      <w:pPr>
        <w:spacing w:after="80" w:line="280"/>
      </w:pPr>
      <w:r>
        <w:rPr>
          <w:rFonts w:ascii="Calibri" w:cs="Calibri" w:eastAsia="Calibri" w:hAnsi="Calibri"/>
          <w:sz w:val="20"/>
          <w:szCs w:val="20"/>
        </w:rPr>
        <w:t xml:space="preserve">On 17-10-2024, our laboratory received four samples submitted by Apex Surface Solutions for routine batch release analysis. The samples comprise one reference standard and three production batches of zinc-rich epoxy primer intended for offshore structural application. The objective of this analysis is to verify conformance with internal specifications and customer release criteria for shipment to an offshore platform contractor. In order to fully characterise the submitted materials, the following investigations were performed:</w:t>
      </w:r>
    </w:p>
    <w:p>
      <w:pPr>
        <w:pStyle w:val="ListParagraph"/>
        <w:numPr>
          <w:ilvl w:val="0"/>
          <w:numId w:val="2"/>
        </w:numPr>
        <w:spacing w:after="60"/>
      </w:pPr>
      <w:r>
        <w:rPr>
          <w:rFonts w:ascii="Calibri" w:cs="Calibri" w:eastAsia="Calibri" w:hAnsi="Calibri"/>
          <w:sz w:val="20"/>
          <w:szCs w:val="20"/>
        </w:rPr>
        <w:t xml:space="preserve">Determination of zinc content and metallic composition by inductively coupled plasma optical emission spectrometry (ICP-OES).</w:t>
      </w:r>
    </w:p>
    <w:p>
      <w:pPr>
        <w:pStyle w:val="ListParagraph"/>
        <w:numPr>
          <w:ilvl w:val="0"/>
          <w:numId w:val="2"/>
        </w:numPr>
        <w:spacing w:after="60"/>
      </w:pPr>
      <w:r>
        <w:rPr>
          <w:rFonts w:ascii="Calibri" w:cs="Calibri" w:eastAsia="Calibri" w:hAnsi="Calibri"/>
          <w:sz w:val="20"/>
          <w:szCs w:val="20"/>
        </w:rPr>
        <w:t xml:space="preserve">Determination of total ash content by gravimetric analysis at elevated temperature.</w:t>
      </w:r>
    </w:p>
    <w:p>
      <w:pPr>
        <w:pStyle w:val="ListParagraph"/>
        <w:numPr>
          <w:ilvl w:val="0"/>
          <w:numId w:val="2"/>
        </w:numPr>
        <w:spacing w:after="60"/>
      </w:pPr>
      <w:r>
        <w:rPr>
          <w:rFonts w:ascii="Calibri" w:cs="Calibri" w:eastAsia="Calibri" w:hAnsi="Calibri"/>
          <w:sz w:val="20"/>
          <w:szCs w:val="20"/>
        </w:rPr>
        <w:t xml:space="preserve">Qualitative elemental screening by X-ray fluorescence spectroscopy (XRF).</w:t>
      </w:r>
    </w:p>
    <w:p>
      <w:pPr>
        <w:pStyle w:val="ListParagraph"/>
        <w:numPr>
          <w:ilvl w:val="0"/>
          <w:numId w:val="2"/>
        </w:numPr>
        <w:spacing w:after="60"/>
      </w:pPr>
      <w:r>
        <w:rPr>
          <w:rFonts w:ascii="Calibri" w:cs="Calibri" w:eastAsia="Calibri" w:hAnsi="Calibri"/>
          <w:sz w:val="20"/>
          <w:szCs w:val="20"/>
        </w:rPr>
        <w:t xml:space="preserve">Determination of chloride and sulphate content by ion chromatography on aqueous extract.</w:t>
      </w:r>
    </w:p>
    <w:p>
      <w:pPr>
        <w:pStyle w:val="ListParagraph"/>
        <w:numPr>
          <w:ilvl w:val="0"/>
          <w:numId w:val="2"/>
        </w:numPr>
        <w:spacing w:after="120"/>
      </w:pPr>
      <w:r>
        <w:rPr>
          <w:rFonts w:ascii="Calibri" w:cs="Calibri" w:eastAsia="Calibri" w:hAnsi="Calibri"/>
          <w:sz w:val="20"/>
          <w:szCs w:val="20"/>
        </w:rPr>
        <w:t xml:space="preserve">Characterisation of the epoxy binder by Fourier-transform infrared spectroscopy (FTIR).</w:t>
      </w:r>
    </w:p>
    <w:p>
      <w:pPr>
        <w:spacing w:after="120" w:before="200"/>
      </w:pPr>
      <w:r>
        <w:rPr>
          <w:rFonts w:ascii="Calibri" w:cs="Calibri" w:eastAsia="Calibri" w:hAnsi="Calibri"/>
          <w:b/>
          <w:bCs/>
          <w:sz w:val="24"/>
          <w:szCs w:val="24"/>
        </w:rPr>
        <w:t xml:space="preserve">2.  Sample preparation</w:t>
      </w:r>
    </w:p>
    <w:p>
      <w:pPr>
        <w:spacing w:after="100" w:before="160"/>
      </w:pPr>
      <w:r>
        <w:rPr>
          <w:rFonts w:ascii="Calibri" w:cs="Calibri" w:eastAsia="Calibri" w:hAnsi="Calibri"/>
          <w:b/>
          <w:bCs/>
          <w:sz w:val="22"/>
          <w:szCs w:val="22"/>
        </w:rPr>
        <w:t xml:space="preserve">2.1  Sample preparation for gravimetric and spectroscopic analysis</w:t>
      </w:r>
    </w:p>
    <w:p>
      <w:pPr>
        <w:spacing w:after="80" w:before="140"/>
      </w:pPr>
      <w:r>
        <w:rPr>
          <w:rFonts w:ascii="Calibri" w:cs="Calibri" w:eastAsia="Calibri" w:hAnsi="Calibri"/>
          <w:b/>
          <w:bCs/>
          <w:i/>
          <w:iCs/>
          <w:sz w:val="20"/>
          <w:szCs w:val="20"/>
        </w:rPr>
        <w:t xml:space="preserve">2.1.1  Examination of total material</w:t>
      </w:r>
    </w:p>
    <w:p>
      <w:pPr>
        <w:spacing w:after="80" w:line="280"/>
      </w:pPr>
      <w:r>
        <w:rPr>
          <w:rFonts w:ascii="Calibri" w:cs="Calibri" w:eastAsia="Calibri" w:hAnsi="Calibri"/>
          <w:sz w:val="20"/>
          <w:szCs w:val="20"/>
        </w:rPr>
        <w:t xml:space="preserve">Approximately 2 g of each sample was weighed into pre-ignited porcelain crucibles using a calibrated analytical balance with a readability of 0.1 mg. The samples were subjected to controlled thermal treatment in a muffle furnace under atmospheric conditions, with target temperatures selected on the basis of the thermal stability characteristics of each material. The residual ash content was determined gravimetrically after cooling the crucibles in a desiccator to constant weight.</w:t>
      </w:r>
    </w:p>
    <w:p>
      <w:pPr>
        <w:spacing w:after="80" w:before="140"/>
      </w:pPr>
      <w:r>
        <w:rPr>
          <w:rFonts w:ascii="Calibri" w:cs="Calibri" w:eastAsia="Calibri" w:hAnsi="Calibri"/>
          <w:b/>
          <w:bCs/>
          <w:i/>
          <w:iCs/>
          <w:sz w:val="20"/>
          <w:szCs w:val="20"/>
        </w:rPr>
        <w:t xml:space="preserve">2.1.2  Analysis of organic coating</w:t>
      </w:r>
    </w:p>
    <w:p>
      <w:pPr>
        <w:spacing w:after="80" w:line="280"/>
      </w:pPr>
      <w:r>
        <w:rPr>
          <w:rFonts w:ascii="Calibri" w:cs="Calibri" w:eastAsia="Calibri" w:hAnsi="Calibri"/>
          <w:sz w:val="20"/>
          <w:szCs w:val="20"/>
        </w:rPr>
        <w:t xml:space="preserve">The organic coating fraction was separated from the total material by solvent extraction using a 4:1 (v/v) dichloromethane/methanol mixture under reflux for four hours. The extracts were filtered through 0.45 µm PTFE membranes, concentrated under reduced pressure, and transferred to sample holders for subsequent spectroscopic characterisation by FTIR.</w:t>
      </w:r>
    </w:p>
    <w:p>
      <w:pPr>
        <w:spacing w:after="100" w:before="160"/>
      </w:pPr>
      <w:r>
        <w:rPr>
          <w:rFonts w:ascii="Calibri" w:cs="Calibri" w:eastAsia="Calibri" w:hAnsi="Calibri"/>
          <w:b/>
          <w:bCs/>
          <w:sz w:val="22"/>
          <w:szCs w:val="22"/>
        </w:rPr>
        <w:t xml:space="preserve">2.2  Sample preparation for elemental analysis (ICP-OES)</w:t>
      </w:r>
    </w:p>
    <w:p>
      <w:pPr>
        <w:spacing w:after="80" w:before="140"/>
      </w:pPr>
      <w:r>
        <w:rPr>
          <w:rFonts w:ascii="Calibri" w:cs="Calibri" w:eastAsia="Calibri" w:hAnsi="Calibri"/>
          <w:b/>
          <w:bCs/>
          <w:i/>
          <w:iCs/>
          <w:sz w:val="20"/>
          <w:szCs w:val="20"/>
        </w:rPr>
        <w:t xml:space="preserve">2.2.1  Sample preparation for optical emission spectrometry on total material</w:t>
      </w:r>
    </w:p>
    <w:p>
      <w:pPr>
        <w:spacing w:after="80" w:line="280"/>
      </w:pPr>
      <w:r>
        <w:rPr>
          <w:rFonts w:ascii="Calibri" w:cs="Calibri" w:eastAsia="Calibri" w:hAnsi="Calibri"/>
          <w:sz w:val="20"/>
          <w:szCs w:val="20"/>
        </w:rPr>
        <w:t xml:space="preserve">Approximately 0.25 g of each sample was digested in a closed-vessel microwave digestion system using a mixture of 6 mL concentrated nitric acid (HNO₃, 65%) and 2 mL hydrochloric acid (HCl, 37%). The digestion programme reached a maximum temperature of 200 °C and was held for 20 minutes. After cooling, the clear digests were quantitatively transferred and diluted to 50 mL with ultrapure water (≥ 18.2 MΩ·cm) prior to analysis.</w:t>
      </w:r>
    </w:p>
    <w:p>
      <w:pPr>
        <w:spacing w:after="80" w:before="140"/>
      </w:pPr>
      <w:r>
        <w:rPr>
          <w:rFonts w:ascii="Calibri" w:cs="Calibri" w:eastAsia="Calibri" w:hAnsi="Calibri"/>
          <w:b/>
          <w:bCs/>
          <w:i/>
          <w:iCs/>
          <w:sz w:val="20"/>
          <w:szCs w:val="20"/>
        </w:rPr>
        <w:t xml:space="preserve">2.2.2  Sample preparation for optical emission spectrometry on aqueous extract</w:t>
      </w:r>
    </w:p>
    <w:p>
      <w:pPr>
        <w:spacing w:after="80" w:line="280"/>
      </w:pPr>
      <w:r>
        <w:rPr>
          <w:rFonts w:ascii="Calibri" w:cs="Calibri" w:eastAsia="Calibri" w:hAnsi="Calibri"/>
          <w:sz w:val="20"/>
          <w:szCs w:val="20"/>
        </w:rPr>
        <w:t xml:space="preserve">A portion of each sample (approximately 5 g) was extracted with 100 mL of ultrapure water at 80 °C for two hours under continuous magnetic stirring. The extracts were cooled to room temperature, filtered through 0.22 µm cellulose acetate membrane filters, and acidified with 1 % (v/v) nitric acid to preserve dissolved species prior to ICP-OES analysis.</w:t>
      </w:r>
    </w:p>
    <w:p>
      <w:pPr>
        <w:spacing w:after="100" w:before="160"/>
      </w:pPr>
      <w:r>
        <w:rPr>
          <w:rFonts w:ascii="Calibri" w:cs="Calibri" w:eastAsia="Calibri" w:hAnsi="Calibri"/>
          <w:b/>
          <w:bCs/>
          <w:sz w:val="22"/>
          <w:szCs w:val="22"/>
        </w:rPr>
        <w:t xml:space="preserve">2.3  Sample preparation for the X-ray fluorescence analysis on the total material</w:t>
      </w:r>
    </w:p>
    <w:p>
      <w:pPr>
        <w:spacing w:after="80" w:line="280"/>
      </w:pPr>
      <w:r>
        <w:rPr>
          <w:rFonts w:ascii="Calibri" w:cs="Calibri" w:eastAsia="Calibri" w:hAnsi="Calibri"/>
          <w:sz w:val="20"/>
          <w:szCs w:val="20"/>
        </w:rPr>
        <w:t xml:space="preserve">Finely ground sub-samples were prepared by cryogenic milling to ensure complete homogenisation and a consistent particle size distribution below 50 µm. Approximately 4 g of the milled material was then pressed into 32 mm pellets using a hydraulic press operating at 15 tons for 60 seconds, with cellulose binder mixed in a 4:1 sample-to-binder ratio. The pressed pellets were analysed directly in the XRF instrument under vacuum conditions (&lt; 10 mbar) using a rhodium anode X-ray tube operated at 50 kV and 40 mA.</w:t>
      </w:r>
    </w:p>
    <w:p>
      <w:pPr>
        <w:spacing w:after="120" w:before="200"/>
      </w:pPr>
      <w:r>
        <w:rPr>
          <w:rFonts w:ascii="Calibri" w:cs="Calibri" w:eastAsia="Calibri" w:hAnsi="Calibri"/>
          <w:b/>
          <w:bCs/>
          <w:sz w:val="24"/>
          <w:szCs w:val="24"/>
        </w:rPr>
        <w:t xml:space="preserve">3.  Results</w:t>
      </w:r>
    </w:p>
    <w:p>
      <w:pPr>
        <w:spacing w:after="100" w:before="160"/>
      </w:pPr>
      <w:r>
        <w:rPr>
          <w:rFonts w:ascii="Calibri" w:cs="Calibri" w:eastAsia="Calibri" w:hAnsi="Calibri"/>
          <w:b/>
          <w:bCs/>
          <w:sz w:val="22"/>
          <w:szCs w:val="22"/>
        </w:rPr>
        <w:t xml:space="preserve">3.1  Metallic composition and zinc content</w:t>
      </w:r>
    </w:p>
    <w:p>
      <w:pPr>
        <w:spacing w:after="80" w:line="280"/>
      </w:pPr>
      <w:r>
        <w:rPr>
          <w:rFonts w:ascii="Calibri" w:cs="Calibri" w:eastAsia="Calibri" w:hAnsi="Calibri"/>
          <w:sz w:val="20"/>
          <w:szCs w:val="20"/>
        </w:rPr>
        <w:t xml:space="preserve">The four samples were characterised by ICP-OES on acid digests for total metallic composition and supplemented by XRF qualitative confirmation. All quantitative values are expressed as mass percentage (% w/w) relative to the original sample mass.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w:trPr>
          <w:cantSplit/>
          <w:tblHeader/>
        </w:trPr>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left"/>
            </w:pPr>
            <w:r>
              <w:rPr>
                <w:rFonts w:ascii="Calibri" w:cs="Calibri" w:eastAsia="Calibri" w:hAnsi="Calibri"/>
                <w:b w:val="false"/>
                <w:bCs w:val="false"/>
                <w:i w:val="false"/>
                <w:iCs w:val="false"/>
                <w:sz w:val="18"/>
                <w:szCs w:val="18"/>
              </w:rPr>
              <w:t xml:space="preserve"/>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Reference Standard</w:t>
            </w:r>
          </w:p>
          <w:p>
            <w:pPr>
              <w:spacing w:after="0" w:line="240"/>
              <w:jc w:val="center"/>
            </w:pPr>
            <w:r>
              <w:rPr>
                <w:rFonts w:ascii="Calibri" w:cs="Calibri" w:eastAsia="Calibri" w:hAnsi="Calibri"/>
                <w:b/>
                <w:bCs/>
                <w:i w:val="false"/>
                <w:iCs w:val="false"/>
                <w:sz w:val="16"/>
                <w:szCs w:val="16"/>
              </w:rPr>
              <w:t xml:space="preserve">#R4912;</w:t>
            </w:r>
          </w:p>
          <w:p>
            <w:pPr>
              <w:spacing w:after="0" w:line="240"/>
              <w:jc w:val="center"/>
            </w:pPr>
            <w:r>
              <w:rPr>
                <w:rFonts w:ascii="Calibri" w:cs="Calibri" w:eastAsia="Calibri" w:hAnsi="Calibri"/>
                <w:b/>
                <w:bCs/>
                <w:i w:val="false"/>
                <w:iCs w:val="false"/>
                <w:sz w:val="16"/>
                <w:szCs w:val="16"/>
              </w:rPr>
              <w:t xml:space="preserve">020003915304</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#30070234518;</w:t>
            </w:r>
          </w:p>
          <w:p>
            <w:pPr>
              <w:spacing w:after="0" w:line="240"/>
              <w:jc w:val="center"/>
            </w:pPr>
            <w:r>
              <w:rPr>
                <w:rFonts w:ascii="Calibri" w:cs="Calibri" w:eastAsia="Calibri" w:hAnsi="Calibri"/>
                <w:b/>
                <w:bCs/>
                <w:i w:val="false"/>
                <w:iCs w:val="false"/>
                <w:sz w:val="16"/>
                <w:szCs w:val="16"/>
              </w:rPr>
              <w:t xml:space="preserve">020003915306</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#30070234519;</w:t>
            </w:r>
          </w:p>
          <w:p>
            <w:pPr>
              <w:spacing w:after="0" w:line="240"/>
              <w:jc w:val="center"/>
            </w:pPr>
            <w:r>
              <w:rPr>
                <w:rFonts w:ascii="Calibri" w:cs="Calibri" w:eastAsia="Calibri" w:hAnsi="Calibri"/>
                <w:b/>
                <w:bCs/>
                <w:i w:val="false"/>
                <w:iCs w:val="false"/>
                <w:sz w:val="16"/>
                <w:szCs w:val="16"/>
              </w:rPr>
              <w:t xml:space="preserve">020003915308</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#30070234520;</w:t>
            </w:r>
          </w:p>
          <w:p>
            <w:pPr>
              <w:spacing w:after="0" w:line="240"/>
              <w:jc w:val="center"/>
            </w:pPr>
            <w:r>
              <w:rPr>
                <w:rFonts w:ascii="Calibri" w:cs="Calibri" w:eastAsia="Calibri" w:hAnsi="Calibri"/>
                <w:b/>
                <w:bCs/>
                <w:i w:val="false"/>
                <w:iCs w:val="false"/>
                <w:sz w:val="16"/>
                <w:szCs w:val="16"/>
              </w:rPr>
              <w:t xml:space="preserve">020003915310</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Ash content</w:t>
            </w:r>
          </w:p>
          <w:p>
            <w:pPr>
              <w:spacing w:after="0" w:line="240"/>
              <w:jc w:val="left"/>
            </w:pPr>
            <w:r>
              <w:rPr>
                <w:rFonts w:ascii="Calibri" w:cs="Calibri" w:eastAsia="Calibri" w:hAnsi="Calibri"/>
                <w:b/>
                <w:bCs/>
                <w:i w:val="false"/>
                <w:iCs w:val="false"/>
                <w:sz w:val="18"/>
                <w:szCs w:val="18"/>
              </w:rPr>
              <w:t xml:space="preserve">(600 °C)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62.4</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62.1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62.7</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62.3</w:t>
            </w:r>
          </w:p>
        </w:tc>
      </w:tr>
    </w:tbl>
    <w:p>
      <w:pPr>
        <w:spacing w:after="120"/>
      </w:pPr>
      <w:r>
        <w:t xml:space="preserve"/>
      </w:r>
    </w:p>
    <w:p>
      <w:pPr>
        <w:spacing w:after="80" w:before="140"/>
      </w:pPr>
      <w:r>
        <w:rPr>
          <w:rFonts w:ascii="Calibri" w:cs="Calibri" w:eastAsia="Calibri" w:hAnsi="Calibri"/>
          <w:b/>
          <w:bCs/>
          <w:i/>
          <w:iCs/>
          <w:sz w:val="20"/>
          <w:szCs w:val="20"/>
        </w:rPr>
        <w:t xml:space="preserve">3.1.1  Elemental composition</w:t>
      </w:r>
    </w:p>
    <w:p>
      <w:pPr>
        <w:spacing w:after="80" w:line="280"/>
      </w:pPr>
      <w:r>
        <w:rPr>
          <w:rFonts w:ascii="Calibri" w:cs="Calibri" w:eastAsia="Calibri" w:hAnsi="Calibri"/>
          <w:i/>
          <w:iCs/>
          <w:sz w:val="20"/>
          <w:szCs w:val="20"/>
        </w:rPr>
        <w:t xml:space="preserve">The following elements were determined by ICP-OES: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w:trPr>
          <w:cantSplit/>
          <w:tblHeader/>
        </w:trPr>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left"/>
            </w:pPr>
            <w:r>
              <w:rPr>
                <w:rFonts w:ascii="Calibri" w:cs="Calibri" w:eastAsia="Calibri" w:hAnsi="Calibri"/>
                <w:b w:val="false"/>
                <w:bCs w:val="false"/>
                <w:i w:val="false"/>
                <w:iCs w:val="false"/>
                <w:sz w:val="18"/>
                <w:szCs w:val="18"/>
              </w:rPr>
              <w:t xml:space="preserve"/>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Reference Standard</w:t>
            </w:r>
          </w:p>
          <w:p>
            <w:pPr>
              <w:spacing w:after="0" w:line="240"/>
              <w:jc w:val="center"/>
            </w:pPr>
            <w:r>
              <w:rPr>
                <w:rFonts w:ascii="Calibri" w:cs="Calibri" w:eastAsia="Calibri" w:hAnsi="Calibri"/>
                <w:b/>
                <w:bCs/>
                <w:i w:val="false"/>
                <w:iCs w:val="false"/>
                <w:sz w:val="16"/>
                <w:szCs w:val="16"/>
              </w:rPr>
              <w:t xml:space="preserve">#R4912;</w:t>
            </w:r>
          </w:p>
          <w:p>
            <w:pPr>
              <w:spacing w:after="0" w:line="240"/>
              <w:jc w:val="center"/>
            </w:pPr>
            <w:r>
              <w:rPr>
                <w:rFonts w:ascii="Calibri" w:cs="Calibri" w:eastAsia="Calibri" w:hAnsi="Calibri"/>
                <w:b/>
                <w:bCs/>
                <w:i w:val="false"/>
                <w:iCs w:val="false"/>
                <w:sz w:val="16"/>
                <w:szCs w:val="16"/>
              </w:rPr>
              <w:t xml:space="preserve">020003915304</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#30070234518;</w:t>
            </w:r>
          </w:p>
          <w:p>
            <w:pPr>
              <w:spacing w:after="0" w:line="240"/>
              <w:jc w:val="center"/>
            </w:pPr>
            <w:r>
              <w:rPr>
                <w:rFonts w:ascii="Calibri" w:cs="Calibri" w:eastAsia="Calibri" w:hAnsi="Calibri"/>
                <w:b/>
                <w:bCs/>
                <w:i w:val="false"/>
                <w:iCs w:val="false"/>
                <w:sz w:val="16"/>
                <w:szCs w:val="16"/>
              </w:rPr>
              <w:t xml:space="preserve">020003915306</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#30070234519;</w:t>
            </w:r>
          </w:p>
          <w:p>
            <w:pPr>
              <w:spacing w:after="0" w:line="240"/>
              <w:jc w:val="center"/>
            </w:pPr>
            <w:r>
              <w:rPr>
                <w:rFonts w:ascii="Calibri" w:cs="Calibri" w:eastAsia="Calibri" w:hAnsi="Calibri"/>
                <w:b/>
                <w:bCs/>
                <w:i w:val="false"/>
                <w:iCs w:val="false"/>
                <w:sz w:val="16"/>
                <w:szCs w:val="16"/>
              </w:rPr>
              <w:t xml:space="preserve">020003915308</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#30070234520;</w:t>
            </w:r>
          </w:p>
          <w:p>
            <w:pPr>
              <w:spacing w:after="0" w:line="240"/>
              <w:jc w:val="center"/>
            </w:pPr>
            <w:r>
              <w:rPr>
                <w:rFonts w:ascii="Calibri" w:cs="Calibri" w:eastAsia="Calibri" w:hAnsi="Calibri"/>
                <w:b/>
                <w:bCs/>
                <w:i w:val="false"/>
                <w:iCs w:val="false"/>
                <w:sz w:val="16"/>
                <w:szCs w:val="16"/>
              </w:rPr>
              <w:t xml:space="preserve">020003915310</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Zinc (Zn)</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82.4 %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82.1 %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82.6 %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82.3 %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Iron (Fe)</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0.18 %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0.21 %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0.19 %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0.22 %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Aluminium (Al)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0.42 %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0.43 %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0.40 %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Silicon (Si)</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0.63 %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0.60 %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0.62 %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Calcium (Ca)</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0.08 %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0.07 %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0.08 %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0.09 %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Magnesium (Mg)</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0.05 %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Lead (Pb)</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0.001</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Cadmium (Cd)</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0.001</w:t>
            </w:r>
          </w:p>
        </w:tc>
      </w:tr>
      <w:tr>
        <w:trPr>
          <w:cantSplit/>
        </w:trPr>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left"/>
            </w:pPr>
            <w:r>
              <w:rPr>
                <w:rFonts w:ascii="Calibri" w:cs="Calibri" w:eastAsia="Calibri" w:hAnsi="Calibri"/>
                <w:b/>
                <w:bCs/>
                <w:i/>
                <w:iCs/>
                <w:sz w:val="16"/>
                <w:szCs w:val="16"/>
              </w:rPr>
              <w:t xml:space="preserve">Qualitatively</w:t>
            </w:r>
          </w:p>
          <w:p>
            <w:pPr>
              <w:spacing w:after="0" w:line="240"/>
              <w:jc w:val="left"/>
            </w:pPr>
            <w:r>
              <w:rPr>
                <w:rFonts w:ascii="Calibri" w:cs="Calibri" w:eastAsia="Calibri" w:hAnsi="Calibri"/>
                <w:b/>
                <w:bCs/>
                <w:i/>
                <w:iCs/>
                <w:sz w:val="16"/>
                <w:szCs w:val="16"/>
              </w:rPr>
              <w:t xml:space="preserve">detected elements</w:t>
            </w:r>
          </w:p>
          <w:p>
            <w:pPr>
              <w:spacing w:after="0" w:line="240"/>
              <w:jc w:val="left"/>
            </w:pPr>
            <w:r>
              <w:rPr>
                <w:rFonts w:ascii="Calibri" w:cs="Calibri" w:eastAsia="Calibri" w:hAnsi="Calibri"/>
                <w:b/>
                <w:bCs/>
                <w:i/>
                <w:iCs/>
                <w:sz w:val="16"/>
                <w:szCs w:val="16"/>
              </w:rPr>
              <w:t xml:space="preserve">by XRF</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Zn, Fe, Al, Si</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Zn, Fe, Al, Si</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Zn, Fe, Al, Si</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Zn, Fe, Al, Si</w:t>
            </w:r>
          </w:p>
        </w:tc>
      </w:tr>
    </w:tbl>
    <w:p>
      <w:pPr>
        <w:spacing w:after="120"/>
      </w:pPr>
      <w:r>
        <w:t xml:space="preserve"/>
      </w:r>
    </w:p>
    <w:p>
      <w:pPr>
        <w:spacing w:after="100" w:before="160"/>
      </w:pPr>
      <w:r>
        <w:rPr>
          <w:rFonts w:ascii="Calibri" w:cs="Calibri" w:eastAsia="Calibri" w:hAnsi="Calibri"/>
          <w:b/>
          <w:bCs/>
          <w:sz w:val="22"/>
          <w:szCs w:val="22"/>
        </w:rPr>
        <w:t xml:space="preserve">3.2  Ionic contamination — chloride and sulphate</w:t>
      </w:r>
    </w:p>
    <w:p>
      <w:pPr>
        <w:spacing w:after="80" w:line="280"/>
      </w:pPr>
      <w:r>
        <w:rPr>
          <w:rFonts w:ascii="Calibri" w:cs="Calibri" w:eastAsia="Calibri" w:hAnsi="Calibri"/>
          <w:sz w:val="20"/>
          <w:szCs w:val="20"/>
        </w:rPr>
        <w:t xml:space="preserve">Aqueous extracts of the four samples were analysed by ion chromatography for chloride and sulphate content, with supporting pH and conductivity measurements. These parameters are particularly important for primers intended for offshore and marine application, where elevated ionic contamination can compromise long-term corrosion protection.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w:trPr>
          <w:cantSplit/>
          <w:tblHeader/>
        </w:trPr>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left"/>
            </w:pPr>
            <w:r>
              <w:rPr>
                <w:rFonts w:ascii="Calibri" w:cs="Calibri" w:eastAsia="Calibri" w:hAnsi="Calibri"/>
                <w:b w:val="false"/>
                <w:bCs w:val="false"/>
                <w:i w:val="false"/>
                <w:iCs w:val="false"/>
                <w:sz w:val="18"/>
                <w:szCs w:val="18"/>
              </w:rPr>
              <w:t xml:space="preserve"/>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Reference Standard</w:t>
            </w:r>
          </w:p>
          <w:p>
            <w:pPr>
              <w:spacing w:after="0" w:line="240"/>
              <w:jc w:val="center"/>
            </w:pPr>
            <w:r>
              <w:rPr>
                <w:rFonts w:ascii="Calibri" w:cs="Calibri" w:eastAsia="Calibri" w:hAnsi="Calibri"/>
                <w:b/>
                <w:bCs/>
                <w:i w:val="false"/>
                <w:iCs w:val="false"/>
                <w:sz w:val="16"/>
                <w:szCs w:val="16"/>
              </w:rPr>
              <w:t xml:space="preserve">#R4912;</w:t>
            </w:r>
          </w:p>
          <w:p>
            <w:pPr>
              <w:spacing w:after="0" w:line="240"/>
              <w:jc w:val="center"/>
            </w:pPr>
            <w:r>
              <w:rPr>
                <w:rFonts w:ascii="Calibri" w:cs="Calibri" w:eastAsia="Calibri" w:hAnsi="Calibri"/>
                <w:b/>
                <w:bCs/>
                <w:i w:val="false"/>
                <w:iCs w:val="false"/>
                <w:sz w:val="16"/>
                <w:szCs w:val="16"/>
              </w:rPr>
              <w:t xml:space="preserve">020003915304</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#30070234518;</w:t>
            </w:r>
          </w:p>
          <w:p>
            <w:pPr>
              <w:spacing w:after="0" w:line="240"/>
              <w:jc w:val="center"/>
            </w:pPr>
            <w:r>
              <w:rPr>
                <w:rFonts w:ascii="Calibri" w:cs="Calibri" w:eastAsia="Calibri" w:hAnsi="Calibri"/>
                <w:b/>
                <w:bCs/>
                <w:i w:val="false"/>
                <w:iCs w:val="false"/>
                <w:sz w:val="16"/>
                <w:szCs w:val="16"/>
              </w:rPr>
              <w:t xml:space="preserve">020003915306</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#30070234519;</w:t>
            </w:r>
          </w:p>
          <w:p>
            <w:pPr>
              <w:spacing w:after="0" w:line="240"/>
              <w:jc w:val="center"/>
            </w:pPr>
            <w:r>
              <w:rPr>
                <w:rFonts w:ascii="Calibri" w:cs="Calibri" w:eastAsia="Calibri" w:hAnsi="Calibri"/>
                <w:b/>
                <w:bCs/>
                <w:i w:val="false"/>
                <w:iCs w:val="false"/>
                <w:sz w:val="16"/>
                <w:szCs w:val="16"/>
              </w:rPr>
              <w:t xml:space="preserve">020003915308</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#30070234520;</w:t>
            </w:r>
          </w:p>
          <w:p>
            <w:pPr>
              <w:spacing w:after="0" w:line="240"/>
              <w:jc w:val="center"/>
            </w:pPr>
            <w:r>
              <w:rPr>
                <w:rFonts w:ascii="Calibri" w:cs="Calibri" w:eastAsia="Calibri" w:hAnsi="Calibri"/>
                <w:b/>
                <w:bCs/>
                <w:i w:val="false"/>
                <w:iCs w:val="false"/>
                <w:sz w:val="16"/>
                <w:szCs w:val="16"/>
              </w:rPr>
              <w:t xml:space="preserve">020003915310</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Chloride (Cl⁻)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0.04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0.05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0.04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0.05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Sulphate (SO₄²⁻)</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0.12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0.14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0.13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0.13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pH of aqueous extract</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8.4</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8.5</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8.4</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8.5</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Conductivity [µS/cm]</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18</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19</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20</w:t>
            </w:r>
          </w:p>
        </w:tc>
      </w:tr>
    </w:tbl>
    <w:p>
      <w:pPr>
        <w:spacing w:after="120"/>
      </w:pPr>
      <w:r>
        <w:t xml:space="preserve"/>
      </w:r>
    </w:p>
    <w:p>
      <w:pPr>
        <w:spacing w:after="100" w:before="160"/>
      </w:pPr>
      <w:r>
        <w:rPr>
          <w:rFonts w:ascii="Calibri" w:cs="Calibri" w:eastAsia="Calibri" w:hAnsi="Calibri"/>
          <w:b/>
          <w:bCs/>
          <w:sz w:val="22"/>
          <w:szCs w:val="22"/>
        </w:rPr>
        <w:t xml:space="preserve">3.3  Binder characterisation and release determination</w:t>
      </w:r>
    </w:p>
    <w:p>
      <w:pPr>
        <w:spacing w:after="80" w:line="280"/>
      </w:pPr>
      <w:r>
        <w:rPr>
          <w:rFonts w:ascii="Calibri" w:cs="Calibri" w:eastAsia="Calibri" w:hAnsi="Calibri"/>
          <w:sz w:val="20"/>
          <w:szCs w:val="20"/>
        </w:rPr>
        <w:t xml:space="preserve">The solvent extracts of the four submitted samples were characterised by Fourier-transform infrared spectroscopy in the spectral range 4000–650 cm⁻¹. All four samples exhibited absorption profiles consistent with a bisphenol A epoxy resin binder system, with the characteristic aromatic ring stretches at 1606 and 1508 cm⁻¹, the ether C–O–C stretch at 1245 cm⁻¹, and the epoxide ring deformation at 915 cm⁻¹. No significant batch-to-batch deviation was observed, and the spectra of the three production batches are in close agreement with the reference standard. All elemental parameters are within internal specification: zinc content (82.1–82.6 %) exceeds the minimum specification of 80 %, iron content (0.19–0.22 %) is well below the 0.30 % limit, and lead and cadmium are both below the analytical detection limit of 0.001 %, confirming compliance with EU RoHS and US heavy-metal restrictions for industrial coatings. Chloride and sulphate content in the aqueous extract are within the required limits for marine and offshore application (Cl⁻ ≤ 0.10 mg/L). The product as supplied meets all release criteria and is suitable for shipment to the customer.</w:t>
      </w:r>
    </w:p>
    <w:p>
      <w:pPr>
        <w:spacing w:after="80" w:before="240"/>
      </w:pPr>
      <w:r>
        <w:rPr>
          <w:rFonts w:ascii="Calibri" w:cs="Calibri" w:eastAsia="Calibri" w:hAnsi="Calibri"/>
          <w:b/>
          <w:bCs/>
          <w:sz w:val="20"/>
          <w:szCs w:val="20"/>
        </w:rPr>
        <w:t xml:space="preserve">Costs of analysis:  1,680.00 USD</w:t>
      </w:r>
    </w:p>
    <w:sectPr>
      <w:headerReference w:type="default" r:id="rId7"/>
      <w:footerReference w:type="default" r:id="rId8"/>
      <w:pgSz w:w="12240" w:h="15840" w:orient="portrait"/>
      <w:pgMar w:top="1200" w:right="1200" w:bottom="1200" w:left="12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left"/>
    </w:pPr>
    <w:r>
      <w:rPr>
        <w:rFonts w:ascii="Calibri" w:cs="Calibri" w:eastAsia="Calibri" w:hAnsi="Calibri"/>
        <w:color w:val="7F7F7F"/>
        <w:sz w:val="16"/>
        <w:szCs w:val="16"/>
      </w:rPr>
      <w:t xml:space="preserve">Report-no:  US2024-0856 640000269437</w:t>
    </w:r>
    <w:r>
      <w:rPr>
        <w:sz w:val="16"/>
        <w:szCs w:val="16"/>
      </w:rPr>
      <w:t xml:space="preserve">		</w:t>
    </w:r>
    <w:r>
      <w:rPr>
        <w:rFonts w:ascii="Calibri" w:cs="Calibri" w:eastAsia="Calibri" w:hAnsi="Calibri"/>
        <w:color w:val="7F7F7F"/>
        <w:sz w:val="16"/>
        <w:szCs w:val="16"/>
      </w:rPr>
      <w:t xml:space="preserve">Page </w:t>
    </w:r>
    <w:r>
      <w:rPr>
        <w:rFonts w:ascii="Calibri" w:cs="Calibri" w:eastAsia="Calibri" w:hAnsi="Calibri"/>
        <w:color w:val="7F7F7F"/>
        <w:sz w:val="16"/>
        <w:szCs w:val="16"/>
      </w:rPr>
      <w:fldChar w:fldCharType="begin"/>
      <w:instrText xml:space="preserve">PAGE</w:instrText>
      <w:fldChar w:fldCharType="separate"/>
      <w:fldChar w:fldCharType="end"/>
    </w:r>
    <w:r>
      <w:rPr>
        <w:rFonts w:ascii="Calibri" w:cs="Calibri" w:eastAsia="Calibri" w:hAnsi="Calibri"/>
        <w:color w:val="7F7F7F"/>
        <w:sz w:val="16"/>
        <w:szCs w:val="16"/>
      </w:rPr>
      <w:t xml:space="preserve"> of </w:t>
    </w:r>
    <w:r>
      <w:rPr>
        <w:rFonts w:ascii="Calibri" w:cs="Calibri" w:eastAsia="Calibri" w:hAnsi="Calibri"/>
        <w:color w:val="7F7F7F"/>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color w:val="7F7F7F"/>
        <w:sz w:val="16"/>
        <w:szCs w:val="16"/>
      </w:rPr>
      <w:t xml:space="preserve">Meridian Analytical Laboratories  |  1840 Innovation Drive, Wilmington, DE 19801, USA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lowerLetter"/>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otnotes" Target="footnote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customXml" Target="../customXml/item1.xml"/><Relationship Id="rId4" Type="http://schemas.openxmlformats.org/officeDocument/2006/relationships/endnotes" Target="endnotes.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8E32C98A9E5C43B8402AF89C8CF7BA" ma:contentTypeVersion="25" ma:contentTypeDescription="Create a new document." ma:contentTypeScope="" ma:versionID="0eb876bdcc1e2c07f9720625181e20c8">
  <xsd:schema xmlns:xsd="http://www.w3.org/2001/XMLSchema" xmlns:xs="http://www.w3.org/2001/XMLSchema" xmlns:p="http://schemas.microsoft.com/office/2006/metadata/properties" xmlns:ns2="b8a28264-3c00-4a77-9fda-506e2d365606" xmlns:ns3="a5d612e4-2c29-4bc8-b0f0-f93d8306f3b2" targetNamespace="http://schemas.microsoft.com/office/2006/metadata/properties" ma:root="true" ma:fieldsID="3ae7d608abefeecd0ae76ffb2e678e34" ns2:_="" ns3:_="">
    <xsd:import namespace="b8a28264-3c00-4a77-9fda-506e2d365606"/>
    <xsd:import namespace="a5d612e4-2c29-4bc8-b0f0-f93d8306f3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DateTaken" minOccurs="0"/>
                <xsd:element ref="ns2:MediaLengthInSeconds" minOccurs="0"/>
                <xsd:element ref="ns2:MediaServiceSearchProperties" minOccurs="0"/>
                <xsd:element ref="ns2:MediaServiceBillingMetadata" minOccurs="0"/>
                <xsd:element ref="ns2:MediaServiceLocation" minOccurs="0"/>
                <xsd:element ref="ns2:Handler"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a28264-3c00-4a77-9fda-506e2d365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e639c09-72eb-486f-aabc-247b384157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Handler" ma:index="27" nillable="true" ma:displayName="Handler" ma:description="who is taking care of this profile" ma:format="Dropdown" ma:list="UserInfo" ma:SharePointGroup="0" ma:internalName="Handl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wner" ma:index="28" nillable="true" ma:displayName="Owner" ma:format="Dropdown" ma:internalName="Owner">
      <xsd:simpleType>
        <xsd:restriction base="dms:Choice">
          <xsd:enumeration value="Purbasha"/>
          <xsd:enumeration value="Parikshith"/>
          <xsd:enumeration value="Suraj"/>
        </xsd:restriction>
      </xsd:simpleType>
    </xsd:element>
  </xsd:schema>
  <xsd:schema xmlns:xsd="http://www.w3.org/2001/XMLSchema" xmlns:xs="http://www.w3.org/2001/XMLSchema" xmlns:dms="http://schemas.microsoft.com/office/2006/documentManagement/types" xmlns:pc="http://schemas.microsoft.com/office/infopath/2007/PartnerControls" targetNamespace="a5d612e4-2c29-4bc8-b0f0-f93d8306f3b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649a72c-497a-44e9-9db0-3c25a067ab98}" ma:internalName="TaxCatchAll" ma:showField="CatchAllData" ma:web="a5d612e4-2c29-4bc8-b0f0-f93d8306f3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5d612e4-2c29-4bc8-b0f0-f93d8306f3b2" xsi:nil="true"/>
    <lcf76f155ced4ddcb4097134ff3c332f xmlns="b8a28264-3c00-4a77-9fda-506e2d365606">
      <Terms xmlns="http://schemas.microsoft.com/office/infopath/2007/PartnerControls"/>
    </lcf76f155ced4ddcb4097134ff3c332f>
    <Handler xmlns="b8a28264-3c00-4a77-9fda-506e2d365606">
      <UserInfo>
        <DisplayName/>
        <AccountId xsi:nil="true"/>
        <AccountType/>
      </UserInfo>
    </Handler>
    <Owner xmlns="b8a28264-3c00-4a77-9fda-506e2d365606" xsi:nil="true"/>
  </documentManagement>
</p:properties>
</file>

<file path=customXml/itemProps1.xml><?xml version="1.0" encoding="utf-8"?>
<ds:datastoreItem xmlns:ds="http://schemas.openxmlformats.org/officeDocument/2006/customXml" ds:itemID="{BB3B8C79-2494-4FC0-AF5C-86708730CEB8}"/>
</file>

<file path=customXml/itemProps2.xml><?xml version="1.0" encoding="utf-8"?>
<ds:datastoreItem xmlns:ds="http://schemas.openxmlformats.org/officeDocument/2006/customXml" ds:itemID="{EC68EDA3-0ADB-4025-8EC9-35AC75CBC462}"/>
</file>

<file path=customXml/itemProps3.xml><?xml version="1.0" encoding="utf-8"?>
<ds:datastoreItem xmlns:ds="http://schemas.openxmlformats.org/officeDocument/2006/customXml" ds:itemID="{0C57872E-7886-4B97-B041-8F83FC241443}"/>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Analytical Report US2024-0856</dc:title>
  <dc:creator>Meridian Analytical Laboratories</dc:creator>
  <cp:lastModifiedBy>Un-named</cp:lastModifiedBy>
  <cp:revision>1</cp:revision>
  <dcterms:created xsi:type="dcterms:W3CDTF">2026-04-29T11:18:08Z</dcterms:created>
  <dcterms:modified xsi:type="dcterms:W3CDTF">2026-04-29T11:18:08Z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0x010100938E32C98A9E5C43B8402AF89C8CF7BA</vt:lpwstr>
  </property>
</Properties>
</file>