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tabs>
          <w:tab w:val="right" w:pos="9000"/>
        </w:tabs>
        <w:spacing w:after="40"/>
      </w:pPr>
      <w:r>
        <w:rPr>
          <w:rFonts w:ascii="Calibri" w:cs="Calibri" w:eastAsia="Calibri" w:hAnsi="Calibri"/>
          <w:sz w:val="20"/>
          <w:szCs w:val="20"/>
        </w:rPr>
        <w:t xml:space="preserve">ECO/TN   Jonathan Pierce</w:t>
      </w:r>
      <w:r>
        <w:rPr>
          <w:rFonts w:ascii="Calibri" w:cs="Calibri" w:eastAsia="Calibri" w:hAnsi="Calibri"/>
          <w:sz w:val="20"/>
          <w:szCs w:val="20"/>
        </w:rPr>
        <w:t xml:space="preserve">	</w:t>
      </w:r>
      <w:r>
        <w:rPr>
          <w:rFonts w:ascii="Calibri" w:cs="Calibri" w:eastAsia="Calibri" w:hAnsi="Calibri"/>
          <w:b w:val="false"/>
          <w:bCs w:val="false"/>
          <w:sz w:val="20"/>
          <w:szCs w:val="20"/>
        </w:rPr>
        <w:t xml:space="preserve">ECO/AC</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Dr. Samuel Whitaker</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Tel.  +1 302 555-0148</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Date  08-04-2024</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Report-no:  US2024-0291</w:t>
      </w:r>
    </w:p>
    <w:p>
      <w:pPr>
        <w:tabs>
          <w:tab w:val="right" w:pos="9000"/>
        </w:tabs>
        <w:spacing w:after="2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640000241582</w:t>
      </w:r>
    </w:p>
    <w:p>
      <w:pPr>
        <w:spacing w:after="240" w:before="120"/>
        <w:jc w:val="center"/>
      </w:pPr>
      <w:r>
        <w:rPr>
          <w:rFonts w:ascii="Calibri" w:cs="Calibri" w:eastAsia="Calibri" w:hAnsi="Calibri"/>
          <w:b/>
          <w:bCs/>
          <w:color w:val="C00000"/>
          <w:sz w:val="24"/>
          <w:szCs w:val="24"/>
        </w:rPr>
        <w:t xml:space="preserve">Confidential – only for internal use!</w:t>
      </w:r>
    </w:p>
    <w:p>
      <w:pPr>
        <w:spacing w:after="160"/>
      </w:pPr>
      <w:r>
        <w:rPr>
          <w:rFonts w:ascii="Calibri" w:cs="Calibri" w:eastAsia="Calibri" w:hAnsi="Calibri"/>
          <w:b/>
          <w:bCs/>
          <w:sz w:val="22"/>
          <w:szCs w:val="22"/>
        </w:rPr>
        <w:t xml:space="preserve">Result of the analytical investigation of the samples:</w:t>
      </w:r>
    </w:p>
    <w:p>
      <w:pPr>
        <w:spacing w:after="120" w:line="280"/>
      </w:pPr>
      <w:r>
        <w:rPr>
          <w:rFonts w:ascii="Calibri" w:cs="Calibri" w:eastAsia="Calibri" w:hAnsi="Calibri"/>
          <w:sz w:val="20"/>
          <w:szCs w:val="20"/>
        </w:rPr>
        <w:t xml:space="preserve">WB Acrylic Emulsion Reference Standard #R4623; 020003858402</w:t>
      </w:r>
    </w:p>
    <w:p>
      <w:pPr>
        <w:spacing w:after="120" w:line="280"/>
      </w:pPr>
      <w:r>
        <w:rPr>
          <w:rFonts w:ascii="Calibri" w:cs="Calibri" w:eastAsia="Calibri" w:hAnsi="Calibri"/>
          <w:sz w:val="20"/>
          <w:szCs w:val="20"/>
        </w:rPr>
        <w:t xml:space="preserve">WB Acrylic Emulsion #30058921734; 020003858404</w:t>
      </w:r>
    </w:p>
    <w:p>
      <w:pPr>
        <w:spacing w:after="120" w:line="280"/>
      </w:pPr>
      <w:r>
        <w:rPr>
          <w:rFonts w:ascii="Calibri" w:cs="Calibri" w:eastAsia="Calibri" w:hAnsi="Calibri"/>
          <w:sz w:val="20"/>
          <w:szCs w:val="20"/>
        </w:rPr>
        <w:t xml:space="preserve">WB Acrylic Emulsion #30058921735; 020003858406</w:t>
      </w:r>
    </w:p>
    <w:p>
      <w:pPr>
        <w:spacing w:after="120" w:line="280"/>
      </w:pPr>
      <w:r>
        <w:rPr>
          <w:rFonts w:ascii="Calibri" w:cs="Calibri" w:eastAsia="Calibri" w:hAnsi="Calibri"/>
          <w:sz w:val="20"/>
          <w:szCs w:val="20"/>
        </w:rPr>
        <w:t xml:space="preserve">WB Acrylic Emulsion #30058921736; 020003858408</w:t>
      </w:r>
    </w:p>
    <w:p>
      <w:pPr>
        <w:spacing w:after="40" w:before="120"/>
      </w:pPr>
      <w:r>
        <w:rPr>
          <w:rFonts w:ascii="Calibri" w:cs="Calibri" w:eastAsia="Calibri" w:hAnsi="Calibri"/>
          <w:i/>
          <w:iCs/>
          <w:sz w:val="20"/>
          <w:szCs w:val="20"/>
        </w:rPr>
        <w:t xml:space="preserve">Date of request:  26-03-2024</w:t>
      </w:r>
    </w:p>
    <w:p>
      <w:pPr>
        <w:spacing w:after="200"/>
      </w:pPr>
      <w:r>
        <w:rPr>
          <w:rFonts w:ascii="Calibri" w:cs="Calibri" w:eastAsia="Calibri" w:hAnsi="Calibri"/>
          <w:i/>
          <w:iCs/>
          <w:sz w:val="20"/>
          <w:szCs w:val="20"/>
        </w:rPr>
        <w:t xml:space="preserve">Receipt of order:  01-04-2024</w:t>
      </w:r>
    </w:p>
    <w:p>
      <w:pPr>
        <w:spacing w:after="120" w:before="200"/>
      </w:pPr>
      <w:r>
        <w:rPr>
          <w:rFonts w:ascii="Calibri" w:cs="Calibri" w:eastAsia="Calibri" w:hAnsi="Calibri"/>
          <w:b/>
          <w:bCs/>
          <w:sz w:val="24"/>
          <w:szCs w:val="24"/>
        </w:rPr>
        <w:t xml:space="preserve">1.  General introduction</w:t>
      </w:r>
    </w:p>
    <w:p>
      <w:pPr>
        <w:spacing w:after="80" w:line="280"/>
      </w:pPr>
      <w:r>
        <w:rPr>
          <w:rFonts w:ascii="Calibri" w:cs="Calibri" w:eastAsia="Calibri" w:hAnsi="Calibri"/>
          <w:sz w:val="20"/>
          <w:szCs w:val="20"/>
        </w:rPr>
        <w:t xml:space="preserve">On 08-04-2024, our laboratory received four samples submitted by Vanguard Industrial Paints for routine batch release analysis. The samples comprise one reference standard and three production batches of waterborne acrylic emulsion, provided for comparative compositional analysis against internal specifications and customer release criteria. In order to fully characterise the submitted materials, the following investigations were performed:</w:t>
      </w:r>
    </w:p>
    <w:p>
      <w:pPr>
        <w:pStyle w:val="ListParagraph"/>
        <w:numPr>
          <w:ilvl w:val="0"/>
          <w:numId w:val="2"/>
        </w:numPr>
        <w:spacing w:after="60"/>
      </w:pPr>
      <w:r>
        <w:rPr>
          <w:rFonts w:ascii="Calibri" w:cs="Calibri" w:eastAsia="Calibri" w:hAnsi="Calibri"/>
          <w:sz w:val="20"/>
          <w:szCs w:val="20"/>
        </w:rPr>
        <w:t xml:space="preserve">Determination of ash content by gravimetric analysis at elevated temperature.</w:t>
      </w:r>
    </w:p>
    <w:p>
      <w:pPr>
        <w:pStyle w:val="ListParagraph"/>
        <w:numPr>
          <w:ilvl w:val="0"/>
          <w:numId w:val="2"/>
        </w:numPr>
        <w:spacing w:after="60"/>
      </w:pPr>
      <w:r>
        <w:rPr>
          <w:rFonts w:ascii="Calibri" w:cs="Calibri" w:eastAsia="Calibri" w:hAnsi="Calibri"/>
          <w:sz w:val="20"/>
          <w:szCs w:val="20"/>
        </w:rPr>
        <w:t xml:space="preserve">Identification and quantification of inorganic constituents by inductively coupled plasma optical emission spectrometry (ICP-OES).</w:t>
      </w:r>
    </w:p>
    <w:p>
      <w:pPr>
        <w:pStyle w:val="ListParagraph"/>
        <w:numPr>
          <w:ilvl w:val="0"/>
          <w:numId w:val="2"/>
        </w:numPr>
        <w:spacing w:after="60"/>
      </w:pPr>
      <w:r>
        <w:rPr>
          <w:rFonts w:ascii="Calibri" w:cs="Calibri" w:eastAsia="Calibri" w:hAnsi="Calibri"/>
          <w:sz w:val="20"/>
          <w:szCs w:val="20"/>
        </w:rPr>
        <w:t xml:space="preserve">Qualitative elemental screening by X-ray fluorescence spectroscopy (XRF).</w:t>
      </w:r>
    </w:p>
    <w:p>
      <w:pPr>
        <w:pStyle w:val="ListParagraph"/>
        <w:numPr>
          <w:ilvl w:val="0"/>
          <w:numId w:val="2"/>
        </w:numPr>
        <w:spacing w:after="60"/>
      </w:pPr>
      <w:r>
        <w:rPr>
          <w:rFonts w:ascii="Calibri" w:cs="Calibri" w:eastAsia="Calibri" w:hAnsi="Calibri"/>
          <w:sz w:val="20"/>
          <w:szCs w:val="20"/>
        </w:rPr>
        <w:t xml:space="preserve">Determination of water-soluble inorganic components in the aqueous extract by ICP-OES.</w:t>
      </w:r>
    </w:p>
    <w:p>
      <w:pPr>
        <w:pStyle w:val="ListParagraph"/>
        <w:numPr>
          <w:ilvl w:val="0"/>
          <w:numId w:val="2"/>
        </w:numPr>
        <w:spacing w:after="60"/>
      </w:pPr>
      <w:r>
        <w:rPr>
          <w:rFonts w:ascii="Calibri" w:cs="Calibri" w:eastAsia="Calibri" w:hAnsi="Calibri"/>
          <w:sz w:val="20"/>
          <w:szCs w:val="20"/>
        </w:rPr>
        <w:t xml:space="preserve">Characterisation of the binder system by Fourier-transform infrared spectroscopy (FTIR).</w:t>
      </w:r>
    </w:p>
    <w:p>
      <w:pPr>
        <w:pStyle w:val="ListParagraph"/>
        <w:numPr>
          <w:ilvl w:val="0"/>
          <w:numId w:val="2"/>
        </w:numPr>
        <w:spacing w:after="120"/>
      </w:pPr>
      <w:r>
        <w:rPr>
          <w:rFonts w:ascii="Calibri" w:cs="Calibri" w:eastAsia="Calibri" w:hAnsi="Calibri"/>
          <w:sz w:val="20"/>
          <w:szCs w:val="20"/>
        </w:rPr>
        <w:t xml:space="preserve">Determination of silicone oil content by proton nuclear magnetic resonance spectroscopy (¹H-NMR).</w:t>
      </w:r>
    </w:p>
    <w:p>
      <w:pPr>
        <w:spacing w:after="120" w:before="200"/>
      </w:pPr>
      <w:r>
        <w:rPr>
          <w:rFonts w:ascii="Calibri" w:cs="Calibri" w:eastAsia="Calibri" w:hAnsi="Calibri"/>
          <w:b/>
          <w:bCs/>
          <w:sz w:val="24"/>
          <w:szCs w:val="24"/>
        </w:rPr>
        <w:t xml:space="preserve">2.  Sample preparation</w:t>
      </w:r>
    </w:p>
    <w:p>
      <w:pPr>
        <w:spacing w:after="100" w:before="160"/>
      </w:pPr>
      <w:r>
        <w:rPr>
          <w:rFonts w:ascii="Calibri" w:cs="Calibri" w:eastAsia="Calibri" w:hAnsi="Calibri"/>
          <w:b/>
          <w:bCs/>
          <w:sz w:val="22"/>
          <w:szCs w:val="22"/>
        </w:rPr>
        <w:t xml:space="preserve">2.1  Sample preparation for gravimetric and spectroscopic analysis</w:t>
      </w:r>
    </w:p>
    <w:p>
      <w:pPr>
        <w:spacing w:after="80" w:before="140"/>
      </w:pPr>
      <w:r>
        <w:rPr>
          <w:rFonts w:ascii="Calibri" w:cs="Calibri" w:eastAsia="Calibri" w:hAnsi="Calibri"/>
          <w:b/>
          <w:bCs/>
          <w:i/>
          <w:iCs/>
          <w:sz w:val="20"/>
          <w:szCs w:val="20"/>
        </w:rPr>
        <w:t xml:space="preserve">2.1.1  Examination of total material</w:t>
      </w:r>
    </w:p>
    <w:p>
      <w:pPr>
        <w:spacing w:after="80" w:line="280"/>
      </w:pPr>
      <w:r>
        <w:rPr>
          <w:rFonts w:ascii="Calibri" w:cs="Calibri" w:eastAsia="Calibri" w:hAnsi="Calibri"/>
          <w:sz w:val="20"/>
          <w:szCs w:val="20"/>
        </w:rPr>
        <w:t xml:space="preserve">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w:pPr>
        <w:spacing w:after="80" w:before="140"/>
      </w:pPr>
      <w:r>
        <w:rPr>
          <w:rFonts w:ascii="Calibri" w:cs="Calibri" w:eastAsia="Calibri" w:hAnsi="Calibri"/>
          <w:b/>
          <w:bCs/>
          <w:i/>
          <w:iCs/>
          <w:sz w:val="20"/>
          <w:szCs w:val="20"/>
        </w:rPr>
        <w:t xml:space="preserve">2.1.2  Analysis of organic coating</w:t>
      </w:r>
    </w:p>
    <w:p>
      <w:pPr>
        <w:spacing w:after="80" w:line="280"/>
      </w:pPr>
      <w:r>
        <w:rPr>
          <w:rFonts w:ascii="Calibri" w:cs="Calibri" w:eastAsia="Calibri" w:hAnsi="Calibri"/>
          <w:sz w:val="20"/>
          <w:szCs w:val="20"/>
        </w:rPr>
        <w:t xml:space="preserve">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w:pPr>
        <w:spacing w:after="100" w:before="160"/>
      </w:pPr>
      <w:r>
        <w:rPr>
          <w:rFonts w:ascii="Calibri" w:cs="Calibri" w:eastAsia="Calibri" w:hAnsi="Calibri"/>
          <w:b/>
          <w:bCs/>
          <w:sz w:val="22"/>
          <w:szCs w:val="22"/>
        </w:rPr>
        <w:t xml:space="preserve">2.2  Sample preparation for elemental analysis (ICP-OES)</w:t>
      </w:r>
    </w:p>
    <w:p>
      <w:pPr>
        <w:spacing w:after="80" w:before="140"/>
      </w:pPr>
      <w:r>
        <w:rPr>
          <w:rFonts w:ascii="Calibri" w:cs="Calibri" w:eastAsia="Calibri" w:hAnsi="Calibri"/>
          <w:b/>
          <w:bCs/>
          <w:i/>
          <w:iCs/>
          <w:sz w:val="20"/>
          <w:szCs w:val="20"/>
        </w:rPr>
        <w:t xml:space="preserve">2.2.1  Sample preparation for optical emission spectrometry on total material</w:t>
      </w:r>
    </w:p>
    <w:p>
      <w:pPr>
        <w:spacing w:after="80" w:line="280"/>
      </w:pPr>
      <w:r>
        <w:rPr>
          <w:rFonts w:ascii="Calibri" w:cs="Calibri" w:eastAsia="Calibri" w:hAnsi="Calibri"/>
          <w:sz w:val="20"/>
          <w:szCs w:val="20"/>
        </w:rPr>
        <w:t xml:space="preserve">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MΩ·cm) prior to analysis.</w:t>
      </w:r>
    </w:p>
    <w:p>
      <w:pPr>
        <w:spacing w:after="80" w:before="140"/>
      </w:pPr>
      <w:r>
        <w:rPr>
          <w:rFonts w:ascii="Calibri" w:cs="Calibri" w:eastAsia="Calibri" w:hAnsi="Calibri"/>
          <w:b/>
          <w:bCs/>
          <w:i/>
          <w:iCs/>
          <w:sz w:val="20"/>
          <w:szCs w:val="20"/>
        </w:rPr>
        <w:t xml:space="preserve">2.2.2  Sample preparation for optical emission spectrometry on aqueous extract</w:t>
      </w:r>
    </w:p>
    <w:p>
      <w:pPr>
        <w:spacing w:after="80" w:line="280"/>
      </w:pPr>
      <w:r>
        <w:rPr>
          <w:rFonts w:ascii="Calibri" w:cs="Calibri" w:eastAsia="Calibri" w:hAnsi="Calibri"/>
          <w:sz w:val="20"/>
          <w:szCs w:val="20"/>
        </w:rPr>
        <w:t xml:space="preserve">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w:pPr>
        <w:spacing w:after="100" w:before="160"/>
      </w:pPr>
      <w:r>
        <w:rPr>
          <w:rFonts w:ascii="Calibri" w:cs="Calibri" w:eastAsia="Calibri" w:hAnsi="Calibri"/>
          <w:b/>
          <w:bCs/>
          <w:sz w:val="22"/>
          <w:szCs w:val="22"/>
        </w:rPr>
        <w:t xml:space="preserve">2.3  Sample preparation for the X-ray fluorescence analysis on the total material</w:t>
      </w:r>
    </w:p>
    <w:p>
      <w:pPr>
        <w:spacing w:after="80" w:line="280"/>
      </w:pPr>
      <w:r>
        <w:rPr>
          <w:rFonts w:ascii="Calibri" w:cs="Calibri" w:eastAsia="Calibri" w:hAnsi="Calibri"/>
          <w:sz w:val="20"/>
          <w:szCs w:val="20"/>
        </w:rPr>
        <w:t xml:space="preserve">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w:pPr>
        <w:spacing w:after="120" w:before="200"/>
      </w:pPr>
      <w:r>
        <w:rPr>
          <w:rFonts w:ascii="Calibri" w:cs="Calibri" w:eastAsia="Calibri" w:hAnsi="Calibri"/>
          <w:b/>
          <w:bCs/>
          <w:sz w:val="24"/>
          <w:szCs w:val="24"/>
        </w:rPr>
        <w:t xml:space="preserve">3.  Results</w:t>
      </w:r>
    </w:p>
    <w:p>
      <w:pPr>
        <w:spacing w:after="100" w:before="160"/>
      </w:pPr>
      <w:r>
        <w:rPr>
          <w:rFonts w:ascii="Calibri" w:cs="Calibri" w:eastAsia="Calibri" w:hAnsi="Calibri"/>
          <w:b/>
          <w:bCs/>
          <w:sz w:val="22"/>
          <w:szCs w:val="22"/>
        </w:rPr>
        <w:t xml:space="preserve">3.1  Inorganic analysis</w:t>
      </w:r>
    </w:p>
    <w:p>
      <w:pPr>
        <w:spacing w:after="80" w:line="280"/>
      </w:pPr>
      <w:r>
        <w:rPr>
          <w:rFonts w:ascii="Calibri" w:cs="Calibri" w:eastAsia="Calibri" w:hAnsi="Calibri"/>
          <w:sz w:val="20"/>
          <w:szCs w:val="20"/>
        </w:rPr>
        <w:t xml:space="preserve">The inorganic constituents of the four submitted samples were characterised by a combination of gravimetric and spectroscopic techniques. The results of the ash content determination and subsequent elemental analyses are summarised below.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#R4623;</w:t>
            </w:r>
          </w:p>
          <w:p>
            <w:pPr>
              <w:spacing w:after="0" w:line="240"/>
              <w:jc w:val="center"/>
            </w:pPr>
            <w:r>
              <w:rPr>
                <w:rFonts w:ascii="Calibri" w:cs="Calibri" w:eastAsia="Calibri" w:hAnsi="Calibri"/>
                <w:b/>
                <w:bCs/>
                <w:i w:val="false"/>
                <w:iCs w:val="false"/>
                <w:sz w:val="16"/>
                <w:szCs w:val="16"/>
              </w:rPr>
              <w:t xml:space="preserve">020003858402</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#30058921734;</w:t>
            </w:r>
          </w:p>
          <w:p>
            <w:pPr>
              <w:spacing w:after="0" w:line="240"/>
              <w:jc w:val="center"/>
            </w:pPr>
            <w:r>
              <w:rPr>
                <w:rFonts w:ascii="Calibri" w:cs="Calibri" w:eastAsia="Calibri" w:hAnsi="Calibri"/>
                <w:b/>
                <w:bCs/>
                <w:i w:val="false"/>
                <w:iCs w:val="false"/>
                <w:sz w:val="16"/>
                <w:szCs w:val="16"/>
              </w:rPr>
              <w:t xml:space="preserve">020003858404</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#30058921735;</w:t>
            </w:r>
          </w:p>
          <w:p>
            <w:pPr>
              <w:spacing w:after="0" w:line="240"/>
              <w:jc w:val="center"/>
            </w:pPr>
            <w:r>
              <w:rPr>
                <w:rFonts w:ascii="Calibri" w:cs="Calibri" w:eastAsia="Calibri" w:hAnsi="Calibri"/>
                <w:b/>
                <w:bCs/>
                <w:i w:val="false"/>
                <w:iCs w:val="false"/>
                <w:sz w:val="16"/>
                <w:szCs w:val="16"/>
              </w:rPr>
              <w:t xml:space="preserve">020003858406</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#30058921736;</w:t>
            </w:r>
          </w:p>
          <w:p>
            <w:pPr>
              <w:spacing w:after="0" w:line="240"/>
              <w:jc w:val="center"/>
            </w:pPr>
            <w:r>
              <w:rPr>
                <w:rFonts w:ascii="Calibri" w:cs="Calibri" w:eastAsia="Calibri" w:hAnsi="Calibri"/>
                <w:b/>
                <w:bCs/>
                <w:i w:val="false"/>
                <w:iCs w:val="false"/>
                <w:sz w:val="16"/>
                <w:szCs w:val="16"/>
              </w:rPr>
              <w:t xml:space="preserve">020003858408</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Ash content</w:t>
            </w:r>
          </w:p>
          <w:p>
            <w:pPr>
              <w:spacing w:after="0" w:line="240"/>
              <w:jc w:val="left"/>
            </w:pPr>
            <w:r>
              <w:rPr>
                <w:rFonts w:ascii="Calibri" w:cs="Calibri" w:eastAsia="Calibri" w:hAnsi="Calibri"/>
                <w:b/>
                <w:bCs/>
                <w:i w:val="false"/>
                <w:iCs w:val="false"/>
                <w:sz w:val="18"/>
                <w:szCs w:val="18"/>
              </w:rPr>
              <w:t xml:space="preserve">(600 °C)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3.2</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3.4</w:t>
            </w:r>
          </w:p>
        </w:tc>
      </w:tr>
    </w:tbl>
    <w:p>
      <w:pPr>
        <w:spacing w:after="120"/>
      </w:pPr>
      <w:r>
        <w:t xml:space="preserve"/>
      </w:r>
    </w:p>
    <w:p>
      <w:pPr>
        <w:spacing w:after="80" w:before="140"/>
      </w:pPr>
      <w:r>
        <w:rPr>
          <w:rFonts w:ascii="Calibri" w:cs="Calibri" w:eastAsia="Calibri" w:hAnsi="Calibri"/>
          <w:b/>
          <w:bCs/>
          <w:i/>
          <w:iCs/>
          <w:sz w:val="20"/>
          <w:szCs w:val="20"/>
        </w:rPr>
        <w:t xml:space="preserve">3.1.1  Composition of the total material</w:t>
      </w:r>
    </w:p>
    <w:p>
      <w:pPr>
        <w:spacing w:after="80" w:line="280"/>
      </w:pPr>
      <w:r>
        <w:rPr>
          <w:rFonts w:ascii="Calibri" w:cs="Calibri" w:eastAsia="Calibri" w:hAnsi="Calibri"/>
          <w:sz w:val="20"/>
          <w:szCs w:val="20"/>
        </w:rPr>
        <w:t xml:space="preserve">The acid digests of the four samples were analysed for their elemental composition by ICP-OES. All quantitative values are expressed as mass percentage (% w/w) relative to the original sample mass.</w:t>
      </w:r>
    </w:p>
    <w:p>
      <w:pPr>
        <w:spacing w:after="80" w:line="280"/>
      </w:pPr>
      <w:r>
        <w:rPr>
          <w:rFonts w:ascii="Calibri" w:cs="Calibri" w:eastAsia="Calibri" w:hAnsi="Calibri"/>
          <w:i/>
          <w:iCs/>
          <w:sz w:val="20"/>
          <w:szCs w:val="20"/>
        </w:rPr>
        <w:t xml:space="preserve">The following elements were detected by ICP-OES: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#R4623;</w:t>
            </w:r>
          </w:p>
          <w:p>
            <w:pPr>
              <w:spacing w:after="0" w:line="240"/>
              <w:jc w:val="center"/>
            </w:pPr>
            <w:r>
              <w:rPr>
                <w:rFonts w:ascii="Calibri" w:cs="Calibri" w:eastAsia="Calibri" w:hAnsi="Calibri"/>
                <w:b/>
                <w:bCs/>
                <w:i w:val="false"/>
                <w:iCs w:val="false"/>
                <w:sz w:val="16"/>
                <w:szCs w:val="16"/>
              </w:rPr>
              <w:t xml:space="preserve">020003858402</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#30058921734;</w:t>
            </w:r>
          </w:p>
          <w:p>
            <w:pPr>
              <w:spacing w:after="0" w:line="240"/>
              <w:jc w:val="center"/>
            </w:pPr>
            <w:r>
              <w:rPr>
                <w:rFonts w:ascii="Calibri" w:cs="Calibri" w:eastAsia="Calibri" w:hAnsi="Calibri"/>
                <w:b/>
                <w:bCs/>
                <w:i w:val="false"/>
                <w:iCs w:val="false"/>
                <w:sz w:val="16"/>
                <w:szCs w:val="16"/>
              </w:rPr>
              <w:t xml:space="preserve">020003858404</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#30058921735;</w:t>
            </w:r>
          </w:p>
          <w:p>
            <w:pPr>
              <w:spacing w:after="0" w:line="240"/>
              <w:jc w:val="center"/>
            </w:pPr>
            <w:r>
              <w:rPr>
                <w:rFonts w:ascii="Calibri" w:cs="Calibri" w:eastAsia="Calibri" w:hAnsi="Calibri"/>
                <w:b/>
                <w:bCs/>
                <w:i w:val="false"/>
                <w:iCs w:val="false"/>
                <w:sz w:val="16"/>
                <w:szCs w:val="16"/>
              </w:rPr>
              <w:t xml:space="preserve">020003858406</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#30058921736;</w:t>
            </w:r>
          </w:p>
          <w:p>
            <w:pPr>
              <w:spacing w:after="0" w:line="240"/>
              <w:jc w:val="center"/>
            </w:pPr>
            <w:r>
              <w:rPr>
                <w:rFonts w:ascii="Calibri" w:cs="Calibri" w:eastAsia="Calibri" w:hAnsi="Calibri"/>
                <w:b/>
                <w:bCs/>
                <w:i w:val="false"/>
                <w:iCs w:val="false"/>
                <w:sz w:val="16"/>
                <w:szCs w:val="16"/>
              </w:rPr>
              <w:t xml:space="preserve">020003858408</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Titanium (Ti)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1.84 %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1.91 %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1.76 %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Aluminium (Al)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0.15 %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Silicon (Si)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0.59 %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0.64 %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0.98 %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1.02 %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0.94 %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0.07 %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0.06 %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Iron (Fe)</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Zinc (Zn)</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n.d.</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0.22 %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Sulphur (S)</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0.39 %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0.44 %</w:t>
            </w:r>
          </w:p>
        </w:tc>
      </w:tr>
      <w:tr>
        <w:trPr>
          <w:cantSplit/>
        </w:trPr>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left"/>
            </w:pPr>
            <w:r>
              <w:rPr>
                <w:rFonts w:ascii="Calibri" w:cs="Calibri" w:eastAsia="Calibri" w:hAnsi="Calibri"/>
                <w:b/>
                <w:bCs/>
                <w:i/>
                <w:iCs/>
                <w:sz w:val="16"/>
                <w:szCs w:val="16"/>
              </w:rPr>
              <w:t xml:space="preserve">Qualitatively</w:t>
            </w:r>
          </w:p>
          <w:p>
            <w:pPr>
              <w:spacing w:after="0" w:line="240"/>
              <w:jc w:val="left"/>
            </w:pPr>
            <w:r>
              <w:rPr>
                <w:rFonts w:ascii="Calibri" w:cs="Calibri" w:eastAsia="Calibri" w:hAnsi="Calibri"/>
                <w:b/>
                <w:bCs/>
                <w:i/>
                <w:iCs/>
                <w:sz w:val="16"/>
                <w:szCs w:val="16"/>
              </w:rPr>
              <w:t xml:space="preserve">detected elements</w:t>
            </w:r>
          </w:p>
          <w:p>
            <w:pPr>
              <w:spacing w:after="0" w:line="240"/>
              <w:jc w:val="left"/>
            </w:pPr>
            <w:r>
              <w:rPr>
                <w:rFonts w:ascii="Calibri" w:cs="Calibri" w:eastAsia="Calibri" w:hAnsi="Calibri"/>
                <w:b/>
                <w:bCs/>
                <w:i/>
                <w:iCs/>
                <w:sz w:val="16"/>
                <w:szCs w:val="16"/>
              </w:rPr>
              <w:t xml:space="preserve">by XRF</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Si, Ca</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 Zn, S</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 Zn, S</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 Zn, S</w:t>
            </w:r>
          </w:p>
        </w:tc>
      </w:tr>
    </w:tbl>
    <w:p>
      <w:pPr>
        <w:spacing w:after="120"/>
      </w:pPr>
      <w:r>
        <w:t xml:space="preserve"/>
      </w:r>
    </w:p>
    <w:p>
      <w:pPr>
        <w:spacing w:after="80" w:before="140"/>
      </w:pPr>
      <w:r>
        <w:rPr>
          <w:rFonts w:ascii="Calibri" w:cs="Calibri" w:eastAsia="Calibri" w:hAnsi="Calibri"/>
          <w:b/>
          <w:bCs/>
          <w:i/>
          <w:iCs/>
          <w:sz w:val="20"/>
          <w:szCs w:val="20"/>
        </w:rPr>
        <w:t xml:space="preserve">3.1.2  Analysis of inorganic water-soluble components</w:t>
      </w:r>
    </w:p>
    <w:p>
      <w:pPr>
        <w:spacing w:after="80" w:line="280"/>
      </w:pPr>
      <w:r>
        <w:rPr>
          <w:rFonts w:ascii="Calibri" w:cs="Calibri" w:eastAsia="Calibri" w:hAnsi="Calibri"/>
          <w:i/>
          <w:iCs/>
          <w:sz w:val="20"/>
          <w:szCs w:val="20"/>
        </w:rPr>
        <w:t xml:space="preserve">The following elements could be determined in the aqueous extract: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#R4623;</w:t>
            </w:r>
          </w:p>
          <w:p>
            <w:pPr>
              <w:spacing w:after="0" w:line="240"/>
              <w:jc w:val="center"/>
            </w:pPr>
            <w:r>
              <w:rPr>
                <w:rFonts w:ascii="Calibri" w:cs="Calibri" w:eastAsia="Calibri" w:hAnsi="Calibri"/>
                <w:b/>
                <w:bCs/>
                <w:i w:val="false"/>
                <w:iCs w:val="false"/>
                <w:sz w:val="16"/>
                <w:szCs w:val="16"/>
              </w:rPr>
              <w:t xml:space="preserve">020003858402</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#30058921734;</w:t>
            </w:r>
          </w:p>
          <w:p>
            <w:pPr>
              <w:spacing w:after="0" w:line="240"/>
              <w:jc w:val="center"/>
            </w:pPr>
            <w:r>
              <w:rPr>
                <w:rFonts w:ascii="Calibri" w:cs="Calibri" w:eastAsia="Calibri" w:hAnsi="Calibri"/>
                <w:b/>
                <w:bCs/>
                <w:i w:val="false"/>
                <w:iCs w:val="false"/>
                <w:sz w:val="16"/>
                <w:szCs w:val="16"/>
              </w:rPr>
              <w:t xml:space="preserve">020003858404</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#30058921735;</w:t>
            </w:r>
          </w:p>
          <w:p>
            <w:pPr>
              <w:spacing w:after="0" w:line="240"/>
              <w:jc w:val="center"/>
            </w:pPr>
            <w:r>
              <w:rPr>
                <w:rFonts w:ascii="Calibri" w:cs="Calibri" w:eastAsia="Calibri" w:hAnsi="Calibri"/>
                <w:b/>
                <w:bCs/>
                <w:i w:val="false"/>
                <w:iCs w:val="false"/>
                <w:sz w:val="16"/>
                <w:szCs w:val="16"/>
              </w:rPr>
              <w:t xml:space="preserve">020003858406</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WB Acrylic Emulsion</w:t>
            </w:r>
          </w:p>
          <w:p>
            <w:pPr>
              <w:spacing w:after="0" w:line="240"/>
              <w:jc w:val="center"/>
            </w:pPr>
            <w:r>
              <w:rPr>
                <w:rFonts w:ascii="Calibri" w:cs="Calibri" w:eastAsia="Calibri" w:hAnsi="Calibri"/>
                <w:b/>
                <w:bCs/>
                <w:i w:val="false"/>
                <w:iCs w:val="false"/>
                <w:sz w:val="16"/>
                <w:szCs w:val="16"/>
              </w:rPr>
              <w:t xml:space="preserve">#30058921736;</w:t>
            </w:r>
          </w:p>
          <w:p>
            <w:pPr>
              <w:spacing w:after="0" w:line="240"/>
              <w:jc w:val="center"/>
            </w:pPr>
            <w:r>
              <w:rPr>
                <w:rFonts w:ascii="Calibri" w:cs="Calibri" w:eastAsia="Calibri" w:hAnsi="Calibri"/>
                <w:b/>
                <w:bCs/>
                <w:i w:val="false"/>
                <w:iCs w:val="false"/>
                <w:sz w:val="16"/>
                <w:szCs w:val="16"/>
              </w:rPr>
              <w:t xml:space="preserve">020003858408</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Sodium (Na)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5.2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5.0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5.3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Potassium (K)</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2.1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2.0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2.2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0.9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3.6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3.9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0.9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1.0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Chloride (Cl⁻)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1.0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2.3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2.5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Sulphate (SO₄²⁻)</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3.1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2.9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3.2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Nitrate (NO₃⁻)</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0.1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0.3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 mg/l</w:t>
            </w:r>
          </w:p>
        </w:tc>
      </w:tr>
      <w:tr>
        <w:trPr>
          <w:cantSplit/>
        </w:trPr>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left"/>
            </w:pPr>
            <w:r>
              <w:rPr>
                <w:rFonts w:ascii="Calibri" w:cs="Calibri" w:eastAsia="Calibri" w:hAnsi="Calibri"/>
                <w:b/>
                <w:bCs/>
                <w:i/>
                <w:iCs/>
                <w:sz w:val="16"/>
                <w:szCs w:val="16"/>
              </w:rPr>
              <w:t xml:space="preserve">Qualitatively</w:t>
            </w:r>
          </w:p>
          <w:p>
            <w:pPr>
              <w:spacing w:after="0" w:line="240"/>
              <w:jc w:val="left"/>
            </w:pPr>
            <w:r>
              <w:rPr>
                <w:rFonts w:ascii="Calibri" w:cs="Calibri" w:eastAsia="Calibri" w:hAnsi="Calibri"/>
                <w:b/>
                <w:bCs/>
                <w:i/>
                <w:iCs/>
                <w:sz w:val="16"/>
                <w:szCs w:val="16"/>
              </w:rPr>
              <w:t xml:space="preserve">detected</w:t>
            </w:r>
          </w:p>
          <w:p>
            <w:pPr>
              <w:spacing w:after="0" w:line="240"/>
              <w:jc w:val="left"/>
            </w:pPr>
            <w:r>
              <w:rPr>
                <w:rFonts w:ascii="Calibri" w:cs="Calibri" w:eastAsia="Calibri" w:hAnsi="Calibri"/>
                <w:b/>
                <w:bCs/>
                <w:i/>
                <w:iCs/>
                <w:sz w:val="16"/>
                <w:szCs w:val="16"/>
              </w:rPr>
              <w:t xml:space="preserve">elements in the</w:t>
            </w:r>
          </w:p>
          <w:p>
            <w:pPr>
              <w:spacing w:after="0" w:line="240"/>
              <w:jc w:val="left"/>
            </w:pPr>
            <w:r>
              <w:rPr>
                <w:rFonts w:ascii="Calibri" w:cs="Calibri" w:eastAsia="Calibri" w:hAnsi="Calibri"/>
                <w:b/>
                <w:bCs/>
                <w:i/>
                <w:iCs/>
                <w:sz w:val="16"/>
                <w:szCs w:val="16"/>
              </w:rPr>
              <w:t xml:space="preserve">trace range</w:t>
            </w:r>
          </w:p>
          <w:p>
            <w:pPr>
              <w:spacing w:after="0" w:line="240"/>
              <w:jc w:val="left"/>
            </w:pPr>
            <w:r>
              <w:rPr>
                <w:rFonts w:ascii="Calibri" w:cs="Calibri" w:eastAsia="Calibri" w:hAnsi="Calibri"/>
                <w:b/>
                <w:bCs/>
                <w:i/>
                <w:iCs/>
                <w:sz w:val="16"/>
                <w:szCs w:val="16"/>
              </w:rPr>
              <w:t xml:space="preserve">(c &lt; 0.1 mg/l)</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B</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B, Li</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B, Li</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B</w:t>
            </w:r>
          </w:p>
        </w:tc>
      </w:tr>
    </w:tbl>
    <w:p>
      <w:pPr>
        <w:spacing w:after="120"/>
      </w:pPr>
      <w:r>
        <w:t xml:space="preserve"/>
      </w:r>
    </w:p>
    <w:p>
      <w:pPr>
        <w:spacing w:after="100" w:before="160"/>
      </w:pPr>
      <w:r>
        <w:rPr>
          <w:rFonts w:ascii="Calibri" w:cs="Calibri" w:eastAsia="Calibri" w:hAnsi="Calibri"/>
          <w:b/>
          <w:bCs/>
          <w:sz w:val="22"/>
          <w:szCs w:val="22"/>
        </w:rPr>
        <w:t xml:space="preserve">3.2  Organic coatings</w:t>
      </w:r>
    </w:p>
    <w:p>
      <w:pPr>
        <w:spacing w:after="80" w:line="280"/>
      </w:pPr>
      <w:r>
        <w:rPr>
          <w:rFonts w:ascii="Calibri" w:cs="Calibri" w:eastAsia="Calibri" w:hAnsi="Calibri"/>
          <w:sz w:val="20"/>
          <w:szCs w:val="20"/>
        </w:rPr>
        <w:t xml:space="preserve">The solvent extracts of the four submitted samples were characterised by Fourier-transform infrared spectroscopy in the spectral range 4000–650 cm⁻¹. All four samples exhibited absorption profiles consistent with a waterborne acrylic emulsion system, with the expected ester carbonyl C=O stretch at 1730 cm⁻¹ and characteristic C–H stretching modes in the region 2850–2960 cm⁻¹. No significant batch-to-batch deviation was observed, and the spectra of the three production batches are in close agreement with the reference standard. All elemental parameters are within internal specification, and no indication of foreign contamination, oxidative degradation, or hydrolytic damage was observed. The product as supplied is suitable for release to the customer.</w:t>
      </w:r>
    </w:p>
    <w:p>
      <w:pPr>
        <w:spacing w:after="100" w:before="160"/>
      </w:pPr>
      <w:r>
        <w:rPr>
          <w:rFonts w:ascii="Calibri" w:cs="Calibri" w:eastAsia="Calibri" w:hAnsi="Calibri"/>
          <w:b/>
          <w:bCs/>
          <w:sz w:val="22"/>
          <w:szCs w:val="22"/>
        </w:rPr>
        <w:t xml:space="preserve">3.3  Determination of silicone oil contents by Proton-NMR</w:t>
      </w:r>
    </w:p>
    <w:p>
      <w:pPr>
        <w:spacing w:after="80" w:line="280"/>
      </w:pPr>
      <w:r>
        <w:rPr>
          <w:rFonts w:ascii="Calibri" w:cs="Calibri" w:eastAsia="Calibri" w:hAnsi="Calibri"/>
          <w:sz w:val="20"/>
          <w:szCs w:val="20"/>
        </w:rPr>
        <w:t xml:space="preserve">For the quantitative determination of silicone oil, aliquots of approximately 100 mg of each sample were extracted with 1.0 mL of deuterated chloroform (CDCl₃) containing tetramethylsilane (TMS) as internal chemical shift reference. Analyses were performed on a 400 MHz ¹H-NMR spectrometer under standard acquisition conditions. In the relevant chemical shift range (0.00–0.15 ppm), no signals attributable to polydimethylsiloxane (PDMS) were detected in any of the four samples, confirming the absence of silicone oil contamination above the method detection limit. The limit of detection (LOD) and limit of quantification (LOQ) of the method were established at 5 mg/kg and 15 mg/kg, respectively.</w:t>
      </w:r>
    </w:p>
    <w:p>
      <w:pPr>
        <w:spacing w:after="80" w:before="240"/>
      </w:pPr>
      <w:r>
        <w:rPr>
          <w:rFonts w:ascii="Calibri" w:cs="Calibri" w:eastAsia="Calibri" w:hAnsi="Calibri"/>
          <w:b/>
          <w:bCs/>
          <w:sz w:val="20"/>
          <w:szCs w:val="20"/>
        </w:rPr>
        <w:t xml:space="preserve">Costs of analysis:  1,460.00 USD</w:t>
      </w:r>
    </w:p>
    <w:sectPr>
      <w:headerReference w:type="default" r:id="rId7"/>
      <w:footerReference w:type="default" r:id="rId8"/>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left"/>
    </w:pPr>
    <w:r>
      <w:rPr>
        <w:rFonts w:ascii="Calibri" w:cs="Calibri" w:eastAsia="Calibri" w:hAnsi="Calibri"/>
        <w:color w:val="7F7F7F"/>
        <w:sz w:val="16"/>
        <w:szCs w:val="16"/>
      </w:rPr>
      <w:t xml:space="preserve">Report-no:  US2024-0291 640000241582</w:t>
    </w:r>
    <w:r>
      <w:rPr>
        <w:sz w:val="16"/>
        <w:szCs w:val="16"/>
      </w:rPr>
      <w:t xml:space="preserve">		</w:t>
    </w:r>
    <w:r>
      <w:rPr>
        <w:rFonts w:ascii="Calibri" w:cs="Calibri" w:eastAsia="Calibri" w:hAnsi="Calibri"/>
        <w:color w:val="7F7F7F"/>
        <w:sz w:val="16"/>
        <w:szCs w:val="16"/>
      </w:rPr>
      <w:t xml:space="preserve">Page </w:t>
    </w:r>
    <w:r>
      <w:rPr>
        <w:rFonts w:ascii="Calibri" w:cs="Calibri" w:eastAsia="Calibri" w:hAnsi="Calibri"/>
        <w:color w:val="7F7F7F"/>
        <w:sz w:val="16"/>
        <w:szCs w:val="16"/>
      </w:rPr>
      <w:fldChar w:fldCharType="begin"/>
      <w:instrText xml:space="preserve">PAGE</w:instrText>
      <w:fldChar w:fldCharType="separate"/>
      <w:fldChar w:fldCharType="end"/>
    </w:r>
    <w:r>
      <w:rPr>
        <w:rFonts w:ascii="Calibri" w:cs="Calibri" w:eastAsia="Calibri" w:hAnsi="Calibri"/>
        <w:color w:val="7F7F7F"/>
        <w:sz w:val="16"/>
        <w:szCs w:val="16"/>
      </w:rPr>
      <w:t xml:space="preserve"> of </w:t>
    </w:r>
    <w:r>
      <w:rPr>
        <w:rFonts w:ascii="Calibri" w:cs="Calibri" w:eastAsia="Calibri" w:hAnsi="Calibri"/>
        <w:color w:val="7F7F7F"/>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7F7F7F"/>
        <w:sz w:val="16"/>
        <w:szCs w:val="16"/>
      </w:rPr>
      <w:t xml:space="preserve">Meridian Analytical Laboratories  |  1840 Innovation Drive, Wilmington, DE 19801,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B4738407-DA9D-42EF-A26F-3ADD75DC3FD2}"/>
</file>

<file path=customXml/itemProps2.xml><?xml version="1.0" encoding="utf-8"?>
<ds:datastoreItem xmlns:ds="http://schemas.openxmlformats.org/officeDocument/2006/customXml" ds:itemID="{EE59BAA5-8D73-4DC8-B2DA-65E2EF599E59}"/>
</file>

<file path=customXml/itemProps3.xml><?xml version="1.0" encoding="utf-8"?>
<ds:datastoreItem xmlns:ds="http://schemas.openxmlformats.org/officeDocument/2006/customXml" ds:itemID="{4ED4BC58-299F-411D-8694-9C9A378FE94F}"/>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US2024-0291</dc:title>
  <dc:creator>Meridian Analytical Laboratories</dc:creator>
  <cp:lastModifiedBy>Un-named</cp:lastModifiedBy>
  <cp:revision>1</cp:revision>
  <dcterms:created xsi:type="dcterms:W3CDTF">2026-04-29T11:18:08Z</dcterms:created>
  <dcterms:modified xsi:type="dcterms:W3CDTF">2026-04-29T11:18:08Z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