
<file path=[Content_Types].xml><?xml version="1.0" encoding="utf-8"?>
<Types xmlns="http://schemas.openxmlformats.org/package/2006/content-types">
  <Default Extension="bmp" ContentType="image/bmp"/>
  <Default Extension="gif" ContentType="image/gif"/>
  <Default Extension="jpeg" ContentType="image/jpeg"/>
  <Default Extension="jpg" ContentType="image/jpeg"/>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Override PartName="/docProps/app.xml" ContentType="application/vnd.openxmlformats-officedocument.extended-properties+xml"/>
  <Override PartName="/word/footnotes.xml" ContentType="application/vnd.openxmlformats-officedocument.wordprocessingml.footnotes+xml"/>
  <Override PartName="/word/endnotes.xml" ContentType="application/vnd.openxmlformats-officedocument.wordprocessingml.endnotes+xml"/>
  <Override PartName="/word/settings.xml" ContentType="application/vnd.openxmlformats-officedocument.wordprocessingml.settings+xml"/>
  <Override PartName="/word/comments.xml" ContentType="application/vnd.openxmlformats-officedocument.wordprocessingml.comments+xml"/>
  <Override PartName="/word/fontTable.xml" ContentType="application/vnd.openxmlformats-officedocument.wordprocessingml.fontTabl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tabs>
          <w:tab w:val="right" w:pos="9000"/>
        </w:tabs>
        <w:spacing w:after="40"/>
      </w:pPr>
      <w:r>
        <w:rPr>
          <w:rFonts w:ascii="Calibri" w:cs="Calibri" w:eastAsia="Calibri" w:hAnsi="Calibri"/>
          <w:sz w:val="20"/>
          <w:szCs w:val="20"/>
        </w:rPr>
        <w:t xml:space="preserve">ECO/TN   Karen O'Sullivan</w:t>
      </w:r>
      <w:r>
        <w:rPr>
          <w:rFonts w:ascii="Calibri" w:cs="Calibri" w:eastAsia="Calibri" w:hAnsi="Calibri"/>
          <w:sz w:val="20"/>
          <w:szCs w:val="20"/>
        </w:rPr>
        <w:t xml:space="preserve">	</w:t>
      </w:r>
      <w:r>
        <w:rPr>
          <w:rFonts w:ascii="Calibri" w:cs="Calibri" w:eastAsia="Calibri" w:hAnsi="Calibri"/>
          <w:b w:val="false"/>
          <w:bCs w:val="false"/>
          <w:sz w:val="20"/>
          <w:szCs w:val="20"/>
        </w:rPr>
        <w:t xml:space="preserve">ECO/IC</w:t>
      </w:r>
    </w:p>
    <w:p>
      <w:pPr>
        <w:tabs>
          <w:tab w:val="right" w:pos="9000"/>
        </w:tabs>
        <w:spacing w:after="40"/>
      </w:pPr>
      <w:r>
        <w:rPr>
          <w:rFonts w:ascii="Calibri" w:cs="Calibri" w:eastAsia="Calibri" w:hAnsi="Calibri"/>
          <w:sz w:val="20"/>
          <w:szCs w:val="20"/>
        </w:rPr>
        <w:t xml:space="preserve"/>
      </w:r>
      <w:r>
        <w:rPr>
          <w:rFonts w:ascii="Calibri" w:cs="Calibri" w:eastAsia="Calibri" w:hAnsi="Calibri"/>
          <w:sz w:val="20"/>
          <w:szCs w:val="20"/>
        </w:rPr>
        <w:t xml:space="preserve">	</w:t>
      </w:r>
      <w:r>
        <w:rPr>
          <w:rFonts w:ascii="Calibri" w:cs="Calibri" w:eastAsia="Calibri" w:hAnsi="Calibri"/>
          <w:b w:val="false"/>
          <w:bCs w:val="false"/>
          <w:sz w:val="20"/>
          <w:szCs w:val="20"/>
        </w:rPr>
        <w:t xml:space="preserve">Dr. Linda Park</w:t>
      </w:r>
    </w:p>
    <w:p>
      <w:pPr>
        <w:tabs>
          <w:tab w:val="right" w:pos="9000"/>
        </w:tabs>
        <w:spacing w:after="40"/>
      </w:pPr>
      <w:r>
        <w:rPr>
          <w:rFonts w:ascii="Calibri" w:cs="Calibri" w:eastAsia="Calibri" w:hAnsi="Calibri"/>
          <w:sz w:val="20"/>
          <w:szCs w:val="20"/>
        </w:rPr>
        <w:t xml:space="preserve"/>
      </w:r>
      <w:r>
        <w:rPr>
          <w:rFonts w:ascii="Calibri" w:cs="Calibri" w:eastAsia="Calibri" w:hAnsi="Calibri"/>
          <w:sz w:val="20"/>
          <w:szCs w:val="20"/>
        </w:rPr>
        <w:t xml:space="preserve">	</w:t>
      </w:r>
      <w:r>
        <w:rPr>
          <w:rFonts w:ascii="Calibri" w:cs="Calibri" w:eastAsia="Calibri" w:hAnsi="Calibri"/>
          <w:b w:val="false"/>
          <w:bCs w:val="false"/>
          <w:sz w:val="20"/>
          <w:szCs w:val="20"/>
        </w:rPr>
        <w:t xml:space="preserve">Tel.  +1 302 555-0162</w:t>
      </w:r>
    </w:p>
    <w:p>
      <w:pPr>
        <w:tabs>
          <w:tab w:val="right" w:pos="9000"/>
        </w:tabs>
        <w:spacing w:after="40"/>
      </w:pPr>
      <w:r>
        <w:rPr>
          <w:rFonts w:ascii="Calibri" w:cs="Calibri" w:eastAsia="Calibri" w:hAnsi="Calibri"/>
          <w:sz w:val="20"/>
          <w:szCs w:val="20"/>
        </w:rPr>
        <w:t xml:space="preserve"/>
      </w:r>
      <w:r>
        <w:rPr>
          <w:rFonts w:ascii="Calibri" w:cs="Calibri" w:eastAsia="Calibri" w:hAnsi="Calibri"/>
          <w:sz w:val="20"/>
          <w:szCs w:val="20"/>
        </w:rPr>
        <w:t xml:space="preserve">	</w:t>
      </w:r>
      <w:r>
        <w:rPr>
          <w:rFonts w:ascii="Calibri" w:cs="Calibri" w:eastAsia="Calibri" w:hAnsi="Calibri"/>
          <w:b w:val="false"/>
          <w:bCs w:val="false"/>
          <w:sz w:val="20"/>
          <w:szCs w:val="20"/>
        </w:rPr>
        <w:t xml:space="preserve">Date  20-10-2023</w:t>
      </w:r>
    </w:p>
    <w:p>
      <w:pPr>
        <w:tabs>
          <w:tab w:val="right" w:pos="9000"/>
        </w:tabs>
        <w:spacing w:after="40"/>
      </w:pPr>
      <w:r>
        <w:rPr>
          <w:rFonts w:ascii="Calibri" w:cs="Calibri" w:eastAsia="Calibri" w:hAnsi="Calibri"/>
          <w:sz w:val="20"/>
          <w:szCs w:val="20"/>
        </w:rPr>
        <w:t xml:space="preserve"/>
      </w:r>
      <w:r>
        <w:rPr>
          <w:rFonts w:ascii="Calibri" w:cs="Calibri" w:eastAsia="Calibri" w:hAnsi="Calibri"/>
          <w:sz w:val="20"/>
          <w:szCs w:val="20"/>
        </w:rPr>
        <w:t xml:space="preserve">	</w:t>
      </w:r>
      <w:r>
        <w:rPr>
          <w:rFonts w:ascii="Calibri" w:cs="Calibri" w:eastAsia="Calibri" w:hAnsi="Calibri"/>
          <w:b/>
          <w:bCs/>
          <w:sz w:val="20"/>
          <w:szCs w:val="20"/>
        </w:rPr>
        <w:t xml:space="preserve">Report-no:  US2023-0824</w:t>
      </w:r>
    </w:p>
    <w:p>
      <w:pPr>
        <w:tabs>
          <w:tab w:val="right" w:pos="9000"/>
        </w:tabs>
        <w:spacing w:after="240"/>
      </w:pPr>
      <w:r>
        <w:rPr>
          <w:rFonts w:ascii="Calibri" w:cs="Calibri" w:eastAsia="Calibri" w:hAnsi="Calibri"/>
          <w:sz w:val="20"/>
          <w:szCs w:val="20"/>
        </w:rPr>
        <w:t xml:space="preserve"/>
      </w:r>
      <w:r>
        <w:rPr>
          <w:rFonts w:ascii="Calibri" w:cs="Calibri" w:eastAsia="Calibri" w:hAnsi="Calibri"/>
          <w:sz w:val="20"/>
          <w:szCs w:val="20"/>
        </w:rPr>
        <w:t xml:space="preserve">	</w:t>
      </w:r>
      <w:r>
        <w:rPr>
          <w:rFonts w:ascii="Calibri" w:cs="Calibri" w:eastAsia="Calibri" w:hAnsi="Calibri"/>
          <w:b/>
          <w:bCs/>
          <w:sz w:val="20"/>
          <w:szCs w:val="20"/>
        </w:rPr>
        <w:t xml:space="preserve">640000222431</w:t>
      </w:r>
    </w:p>
    <w:p>
      <w:pPr>
        <w:spacing w:after="240" w:before="120"/>
        <w:jc w:val="center"/>
      </w:pPr>
      <w:r>
        <w:rPr>
          <w:rFonts w:ascii="Calibri" w:cs="Calibri" w:eastAsia="Calibri" w:hAnsi="Calibri"/>
          <w:b/>
          <w:bCs/>
          <w:color w:val="C00000"/>
          <w:sz w:val="24"/>
          <w:szCs w:val="24"/>
        </w:rPr>
        <w:t xml:space="preserve">Confidential – only for internal use!</w:t>
      </w:r>
    </w:p>
    <w:p>
      <w:pPr>
        <w:spacing w:after="160"/>
      </w:pPr>
      <w:r>
        <w:rPr>
          <w:rFonts w:ascii="Calibri" w:cs="Calibri" w:eastAsia="Calibri" w:hAnsi="Calibri"/>
          <w:b/>
          <w:bCs/>
          <w:sz w:val="22"/>
          <w:szCs w:val="22"/>
        </w:rPr>
        <w:t xml:space="preserve">Result of the analytical investigation of the samples:</w:t>
      </w:r>
    </w:p>
    <w:p>
      <w:pPr>
        <w:spacing w:after="120" w:line="280"/>
      </w:pPr>
      <w:r>
        <w:rPr>
          <w:rFonts w:ascii="Calibri" w:cs="Calibri" w:eastAsia="Calibri" w:hAnsi="Calibri"/>
          <w:sz w:val="20"/>
          <w:szCs w:val="20"/>
        </w:rPr>
        <w:t xml:space="preserve">Epoxy Topcoat Reference Standard #R4527; 020003824701</w:t>
      </w:r>
    </w:p>
    <w:p>
      <w:pPr>
        <w:spacing w:after="120" w:line="280"/>
      </w:pPr>
      <w:r>
        <w:rPr>
          <w:rFonts w:ascii="Calibri" w:cs="Calibri" w:eastAsia="Calibri" w:hAnsi="Calibri"/>
          <w:sz w:val="20"/>
          <w:szCs w:val="20"/>
        </w:rPr>
        <w:t xml:space="preserve">Epoxy Topcoat #30048312715; 020003824703</w:t>
      </w:r>
    </w:p>
    <w:p>
      <w:pPr>
        <w:spacing w:after="120" w:line="280"/>
      </w:pPr>
      <w:r>
        <w:rPr>
          <w:rFonts w:ascii="Calibri" w:cs="Calibri" w:eastAsia="Calibri" w:hAnsi="Calibri"/>
          <w:sz w:val="20"/>
          <w:szCs w:val="20"/>
        </w:rPr>
        <w:t xml:space="preserve">Epoxy Topcoat #30048312716; 020003824705</w:t>
      </w:r>
    </w:p>
    <w:p>
      <w:pPr>
        <w:spacing w:after="120" w:line="280"/>
      </w:pPr>
      <w:r>
        <w:rPr>
          <w:rFonts w:ascii="Calibri" w:cs="Calibri" w:eastAsia="Calibri" w:hAnsi="Calibri"/>
          <w:sz w:val="20"/>
          <w:szCs w:val="20"/>
        </w:rPr>
        <w:t xml:space="preserve">Epoxy Topcoat #30048312717; 020003824707</w:t>
      </w:r>
    </w:p>
    <w:p>
      <w:pPr>
        <w:spacing w:after="200"/>
      </w:pPr>
      <w:r>
        <w:rPr>
          <w:rFonts w:ascii="Calibri" w:cs="Calibri" w:eastAsia="Calibri" w:hAnsi="Calibri"/>
          <w:i/>
          <w:iCs/>
          <w:sz w:val="20"/>
          <w:szCs w:val="20"/>
        </w:rPr>
        <w:t xml:space="preserve">Receipt of order:  12-10-2023</w:t>
      </w:r>
    </w:p>
    <w:p>
      <w:pPr>
        <w:spacing w:after="120" w:before="200"/>
      </w:pPr>
      <w:r>
        <w:rPr>
          <w:rFonts w:ascii="Calibri" w:cs="Calibri" w:eastAsia="Calibri" w:hAnsi="Calibri"/>
          <w:b/>
          <w:bCs/>
          <w:sz w:val="24"/>
          <w:szCs w:val="24"/>
        </w:rPr>
        <w:t xml:space="preserve">1.  General introduction</w:t>
      </w:r>
    </w:p>
    <w:p>
      <w:pPr>
        <w:spacing w:after="80" w:line="280"/>
      </w:pPr>
      <w:r>
        <w:rPr>
          <w:rFonts w:ascii="Calibri" w:cs="Calibri" w:eastAsia="Calibri" w:hAnsi="Calibri"/>
          <w:sz w:val="20"/>
          <w:szCs w:val="20"/>
        </w:rPr>
        <w:t xml:space="preserve">On 20-10-2023, our laboratory received four samples submitted by Cascade Mountain Coatings Co. for batch release analysis of epoxy topcoat material. The samples comprise one reference standard and three production batches, presented for verification against internal release specifications. Status against specification is shown alongside each measured value. The following investigations were performed:</w:t>
      </w:r>
    </w:p>
    <w:p>
      <w:pPr>
        <w:pStyle w:val="ListParagraph"/>
        <w:numPr>
          <w:ilvl w:val="0"/>
          <w:numId w:val="2"/>
        </w:numPr>
        <w:spacing w:after="60"/>
      </w:pPr>
      <w:r>
        <w:rPr>
          <w:rFonts w:ascii="Calibri" w:cs="Calibri" w:eastAsia="Calibri" w:hAnsi="Calibri"/>
          <w:sz w:val="20"/>
          <w:szCs w:val="20"/>
        </w:rPr>
        <w:t xml:space="preserve">Quantification of inorganic oxide constituents by ICP-OES (results expressed as oxides).</w:t>
      </w:r>
    </w:p>
    <w:p>
      <w:pPr>
        <w:pStyle w:val="ListParagraph"/>
        <w:numPr>
          <w:ilvl w:val="0"/>
          <w:numId w:val="2"/>
        </w:numPr>
        <w:spacing w:after="60"/>
      </w:pPr>
      <w:r>
        <w:rPr>
          <w:rFonts w:ascii="Calibri" w:cs="Calibri" w:eastAsia="Calibri" w:hAnsi="Calibri"/>
          <w:sz w:val="20"/>
          <w:szCs w:val="20"/>
        </w:rPr>
        <w:t xml:space="preserve">Determination of ash residue at 600 °C.</w:t>
      </w:r>
    </w:p>
    <w:p>
      <w:pPr>
        <w:pStyle w:val="ListParagraph"/>
        <w:numPr>
          <w:ilvl w:val="0"/>
          <w:numId w:val="2"/>
        </w:numPr>
        <w:spacing w:after="60"/>
      </w:pPr>
      <w:r>
        <w:rPr>
          <w:rFonts w:ascii="Calibri" w:cs="Calibri" w:eastAsia="Calibri" w:hAnsi="Calibri"/>
          <w:sz w:val="20"/>
          <w:szCs w:val="20"/>
        </w:rPr>
        <w:t xml:space="preserve">Qualitative XRF screening for trace contamination.</w:t>
      </w:r>
    </w:p>
    <w:p>
      <w:pPr>
        <w:pStyle w:val="ListParagraph"/>
        <w:numPr>
          <w:ilvl w:val="0"/>
          <w:numId w:val="2"/>
        </w:numPr>
        <w:spacing w:after="60"/>
      </w:pPr>
      <w:r>
        <w:rPr>
          <w:rFonts w:ascii="Calibri" w:cs="Calibri" w:eastAsia="Calibri" w:hAnsi="Calibri"/>
          <w:sz w:val="20"/>
          <w:szCs w:val="20"/>
        </w:rPr>
        <w:t xml:space="preserve">Determination of pendulum hardness per ASTM D4366.</w:t>
      </w:r>
    </w:p>
    <w:p>
      <w:pPr>
        <w:pStyle w:val="ListParagraph"/>
        <w:numPr>
          <w:ilvl w:val="0"/>
          <w:numId w:val="2"/>
        </w:numPr>
        <w:spacing w:after="120"/>
      </w:pPr>
      <w:r>
        <w:rPr>
          <w:rFonts w:ascii="Calibri" w:cs="Calibri" w:eastAsia="Calibri" w:hAnsi="Calibri"/>
          <w:sz w:val="20"/>
          <w:szCs w:val="20"/>
        </w:rPr>
        <w:t xml:space="preserve">Characterisation of epoxy binder by FTIR.</w:t>
      </w:r>
    </w:p>
    <w:p>
      <w:pPr>
        <w:spacing w:after="120" w:before="200"/>
      </w:pPr>
      <w:r>
        <w:rPr>
          <w:rFonts w:ascii="Calibri" w:cs="Calibri" w:eastAsia="Calibri" w:hAnsi="Calibri"/>
          <w:b/>
          <w:bCs/>
          <w:sz w:val="24"/>
          <w:szCs w:val="24"/>
        </w:rPr>
        <w:t xml:space="preserve">2.  Sample preparation</w:t>
      </w:r>
    </w:p>
    <w:p>
      <w:pPr>
        <w:spacing w:after="100" w:before="160"/>
      </w:pPr>
      <w:r>
        <w:rPr>
          <w:rFonts w:ascii="Calibri" w:cs="Calibri" w:eastAsia="Calibri" w:hAnsi="Calibri"/>
          <w:b/>
          <w:bCs/>
          <w:sz w:val="22"/>
          <w:szCs w:val="22"/>
        </w:rPr>
        <w:t xml:space="preserve">2.1  Sample preparation for ICP-OES (oxide reporting)</w:t>
      </w:r>
    </w:p>
    <w:p>
      <w:pPr>
        <w:spacing w:after="80" w:line="280"/>
      </w:pPr>
      <w:r>
        <w:rPr>
          <w:rFonts w:ascii="Calibri" w:cs="Calibri" w:eastAsia="Calibri" w:hAnsi="Calibri"/>
          <w:sz w:val="20"/>
          <w:szCs w:val="20"/>
        </w:rPr>
        <w:t xml:space="preserve">Approximately 0.20 g of each sample was digested in a closed-vessel microwave system using a mixture of concentrated HNO₃ (6 mL) and HF (1 mL) at 220 °C for 30 minutes. Element concentrations measured by ICP-OES were converted stoichiometrically to oxide equivalents and reported as % w/w.</w:t>
      </w:r>
    </w:p>
    <w:p>
      <w:pPr>
        <w:spacing w:after="100" w:before="160"/>
      </w:pPr>
      <w:r>
        <w:rPr>
          <w:rFonts w:ascii="Calibri" w:cs="Calibri" w:eastAsia="Calibri" w:hAnsi="Calibri"/>
          <w:b/>
          <w:bCs/>
          <w:sz w:val="22"/>
          <w:szCs w:val="22"/>
        </w:rPr>
        <w:t xml:space="preserve">2.2  Sample preparation for ash and pendulum hardness</w:t>
      </w:r>
    </w:p>
    <w:p>
      <w:pPr>
        <w:spacing w:after="80" w:line="280"/>
      </w:pPr>
      <w:r>
        <w:rPr>
          <w:rFonts w:ascii="Calibri" w:cs="Calibri" w:eastAsia="Calibri" w:hAnsi="Calibri"/>
          <w:sz w:val="20"/>
          <w:szCs w:val="20"/>
        </w:rPr>
        <w:t xml:space="preserve">Ash content was determined gravimetrically after thermal treatment at 600 °C. Pendulum hardness drawdowns were prepared at 50 µm dry film thickness on glass plates and conditioned for 7 days at 23 °C / 50% RH prior to measurement per ASTM D4366.</w:t>
      </w:r>
    </w:p>
    <w:p>
      <w:pPr>
        <w:spacing w:after="120" w:before="200"/>
      </w:pPr>
      <w:r>
        <w:rPr>
          <w:rFonts w:ascii="Calibri" w:cs="Calibri" w:eastAsia="Calibri" w:hAnsi="Calibri"/>
          <w:b/>
          <w:bCs/>
          <w:sz w:val="24"/>
          <w:szCs w:val="24"/>
        </w:rPr>
        <w:t xml:space="preserve">3.  Results</w:t>
      </w:r>
    </w:p>
    <w:p>
      <w:pPr>
        <w:spacing w:after="100" w:before="160"/>
      </w:pPr>
      <w:r>
        <w:rPr>
          <w:rFonts w:ascii="Calibri" w:cs="Calibri" w:eastAsia="Calibri" w:hAnsi="Calibri"/>
          <w:b/>
          <w:bCs/>
          <w:sz w:val="22"/>
          <w:szCs w:val="22"/>
        </w:rPr>
        <w:t xml:space="preserve">3.1  Composition with PASS/FAIL status (oxide reporting)</w:t>
      </w:r>
    </w:p>
    <w:p>
      <w:pPr>
        <w:spacing w:after="80" w:line="280"/>
      </w:pPr>
      <w:r>
        <w:rPr>
          <w:rFonts w:ascii="Calibri" w:cs="Calibri" w:eastAsia="Calibri" w:hAnsi="Calibri"/>
          <w:sz w:val="20"/>
          <w:szCs w:val="20"/>
        </w:rPr>
        <w:t xml:space="preserve">Each parameter is presented with its specification limit, the reference standard value, the values for the three production batches, and an explicit pass/fail status. Mass percentages are reported as % w/w.</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2400"/>
        <w:gridCol w:w="1400"/>
        <w:gridCol w:w="1100"/>
        <w:gridCol w:w="1100"/>
        <w:gridCol w:w="1100"/>
        <w:gridCol w:w="1100"/>
        <w:gridCol w:w="800"/>
      </w:tblGrid>
      <w:tr>
        <w:trPr>
          <w:cantSplit/>
          <w:tblHeader/>
        </w:trPr>
        <w:tc>
          <w:tcPr>
            <w:tcW w:type="dxa" w:w="24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6"/>
                <w:szCs w:val="16"/>
              </w:rPr>
              <w:t xml:space="preserve">Parameter</w:t>
            </w:r>
          </w:p>
        </w:tc>
        <w:tc>
          <w:tcPr>
            <w:tcW w:type="dxa" w:w="14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center"/>
            </w:pPr>
            <w:r>
              <w:rPr>
                <w:rFonts w:ascii="Calibri" w:cs="Calibri" w:eastAsia="Calibri" w:hAnsi="Calibri"/>
                <w:b/>
                <w:bCs/>
                <w:i w:val="false"/>
                <w:iCs w:val="false"/>
                <w:sz w:val="16"/>
                <w:szCs w:val="16"/>
              </w:rPr>
              <w:t xml:space="preserve">Spec</w:t>
            </w:r>
          </w:p>
        </w:tc>
        <w:tc>
          <w:tcPr>
            <w:tcW w:type="dxa" w:w="11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center"/>
            </w:pPr>
            <w:r>
              <w:rPr>
                <w:rFonts w:ascii="Calibri" w:cs="Calibri" w:eastAsia="Calibri" w:hAnsi="Calibri"/>
                <w:b/>
                <w:bCs/>
                <w:i w:val="false"/>
                <w:iCs w:val="false"/>
                <w:sz w:val="14"/>
                <w:szCs w:val="14"/>
              </w:rPr>
              <w:t xml:space="preserve">Ref Std</w:t>
            </w:r>
          </w:p>
          <w:p>
            <w:pPr>
              <w:spacing w:after="0" w:line="240"/>
              <w:jc w:val="center"/>
            </w:pPr>
            <w:r>
              <w:rPr>
                <w:rFonts w:ascii="Calibri" w:cs="Calibri" w:eastAsia="Calibri" w:hAnsi="Calibri"/>
                <w:b/>
                <w:bCs/>
                <w:i w:val="false"/>
                <w:iCs w:val="false"/>
                <w:sz w:val="14"/>
                <w:szCs w:val="14"/>
              </w:rPr>
              <w:t xml:space="preserve">#R4527</w:t>
            </w:r>
          </w:p>
        </w:tc>
        <w:tc>
          <w:tcPr>
            <w:tcW w:type="dxa" w:w="11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center"/>
            </w:pPr>
            <w:r>
              <w:rPr>
                <w:rFonts w:ascii="Calibri" w:cs="Calibri" w:eastAsia="Calibri" w:hAnsi="Calibri"/>
                <w:b/>
                <w:bCs/>
                <w:i w:val="false"/>
                <w:iCs w:val="false"/>
                <w:sz w:val="14"/>
                <w:szCs w:val="14"/>
              </w:rPr>
              <w:t xml:space="preserve">#30048312715</w:t>
            </w:r>
          </w:p>
        </w:tc>
        <w:tc>
          <w:tcPr>
            <w:tcW w:type="dxa" w:w="11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center"/>
            </w:pPr>
            <w:r>
              <w:rPr>
                <w:rFonts w:ascii="Calibri" w:cs="Calibri" w:eastAsia="Calibri" w:hAnsi="Calibri"/>
                <w:b/>
                <w:bCs/>
                <w:i w:val="false"/>
                <w:iCs w:val="false"/>
                <w:sz w:val="14"/>
                <w:szCs w:val="14"/>
              </w:rPr>
              <w:t xml:space="preserve">#30048312716</w:t>
            </w:r>
          </w:p>
        </w:tc>
        <w:tc>
          <w:tcPr>
            <w:tcW w:type="dxa" w:w="11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center"/>
            </w:pPr>
            <w:r>
              <w:rPr>
                <w:rFonts w:ascii="Calibri" w:cs="Calibri" w:eastAsia="Calibri" w:hAnsi="Calibri"/>
                <w:b/>
                <w:bCs/>
                <w:i w:val="false"/>
                <w:iCs w:val="false"/>
                <w:sz w:val="14"/>
                <w:szCs w:val="14"/>
              </w:rPr>
              <w:t xml:space="preserve">#30048312717</w:t>
            </w:r>
          </w:p>
        </w:tc>
        <w:tc>
          <w:tcPr>
            <w:tcW w:type="dxa" w:w="8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center"/>
            </w:pPr>
            <w:r>
              <w:rPr>
                <w:rFonts w:ascii="Calibri" w:cs="Calibri" w:eastAsia="Calibri" w:hAnsi="Calibri"/>
                <w:b/>
                <w:bCs/>
                <w:i w:val="false"/>
                <w:iCs w:val="false"/>
                <w:sz w:val="16"/>
                <w:szCs w:val="16"/>
              </w:rPr>
              <w:t xml:space="preserve">Status</w:t>
            </w:r>
          </w:p>
        </w:tc>
      </w:tr>
      <w:tr>
        <w:trPr>
          <w:cantSplit/>
        </w:trPr>
        <w:tc>
          <w:tcPr>
            <w:tcW w:type="dxa" w:w="24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7"/>
                <w:szCs w:val="17"/>
              </w:rPr>
              <w:t xml:space="preserve">TiO₂ [%]</w:t>
            </w:r>
          </w:p>
        </w:tc>
        <w:tc>
          <w:tcPr>
            <w:tcW w:type="dxa" w:w="14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iCs/>
                <w:sz w:val="16"/>
                <w:szCs w:val="16"/>
              </w:rPr>
              <w:t xml:space="preserve">max 25.0</w:t>
            </w:r>
          </w:p>
        </w:tc>
        <w:tc>
          <w:tcPr>
            <w:tcW w:type="dxa" w:w="11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7"/>
                <w:szCs w:val="17"/>
              </w:rPr>
              <w:t xml:space="preserve">0.05</w:t>
            </w:r>
          </w:p>
        </w:tc>
        <w:tc>
          <w:tcPr>
            <w:tcW w:type="dxa" w:w="11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7"/>
                <w:szCs w:val="17"/>
              </w:rPr>
              <w:t xml:space="preserve">21.84</w:t>
            </w:r>
          </w:p>
        </w:tc>
        <w:tc>
          <w:tcPr>
            <w:tcW w:type="dxa" w:w="11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7"/>
                <w:szCs w:val="17"/>
              </w:rPr>
              <w:t xml:space="preserve">21.91</w:t>
            </w:r>
          </w:p>
        </w:tc>
        <w:tc>
          <w:tcPr>
            <w:tcW w:type="dxa" w:w="11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7"/>
                <w:szCs w:val="17"/>
              </w:rPr>
              <w:t xml:space="preserve">21.78</w:t>
            </w:r>
          </w:p>
        </w:tc>
        <w:tc>
          <w:tcPr>
            <w:tcW w:type="dxa" w:w="800"/>
            <w:tcBorders>
              <w:top w:val="single" w:color="808080" w:sz="4"/>
              <w:left w:val="single" w:color="808080" w:sz="4"/>
              <w:bottom w:val="single" w:color="808080" w:sz="4"/>
              <w:right w:val="single" w:color="808080" w:sz="4"/>
            </w:tcBorders>
            <w:shd w:fill="DCF7E3" w:val="clear"/>
            <w:tcMar>
              <w:top w:type="dxa" w:w="60"/>
              <w:left w:type="dxa" w:w="100"/>
              <w:bottom w:type="dxa" w:w="60"/>
              <w:right w:type="dxa" w:w="100"/>
            </w:tcMar>
            <w:vAlign w:val="center"/>
          </w:tcPr>
          <w:p>
            <w:pPr>
              <w:spacing w:after="0" w:line="240"/>
              <w:jc w:val="center"/>
            </w:pPr>
            <w:r>
              <w:rPr>
                <w:rFonts w:ascii="Calibri" w:cs="Calibri" w:eastAsia="Calibri" w:hAnsi="Calibri"/>
                <w:b/>
                <w:bCs/>
                <w:i w:val="false"/>
                <w:iCs w:val="false"/>
                <w:sz w:val="16"/>
                <w:szCs w:val="16"/>
              </w:rPr>
              <w:t xml:space="preserve">PASS</w:t>
            </w:r>
          </w:p>
        </w:tc>
      </w:tr>
      <w:tr>
        <w:trPr>
          <w:cantSplit/>
        </w:trPr>
        <w:tc>
          <w:tcPr>
            <w:tcW w:type="dxa" w:w="24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7"/>
                <w:szCs w:val="17"/>
              </w:rPr>
              <w:t xml:space="preserve">Fe₂O₃ [%]</w:t>
            </w:r>
          </w:p>
        </w:tc>
        <w:tc>
          <w:tcPr>
            <w:tcW w:type="dxa" w:w="14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iCs/>
                <w:sz w:val="16"/>
                <w:szCs w:val="16"/>
              </w:rPr>
              <w:t xml:space="preserve">max 0.30</w:t>
            </w:r>
          </w:p>
        </w:tc>
        <w:tc>
          <w:tcPr>
            <w:tcW w:type="dxa" w:w="11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7"/>
                <w:szCs w:val="17"/>
              </w:rPr>
              <w:t xml:space="preserve">&lt; 0.01</w:t>
            </w:r>
          </w:p>
        </w:tc>
        <w:tc>
          <w:tcPr>
            <w:tcW w:type="dxa" w:w="11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7"/>
                <w:szCs w:val="17"/>
              </w:rPr>
              <w:t xml:space="preserve">0.18</w:t>
            </w:r>
          </w:p>
        </w:tc>
        <w:tc>
          <w:tcPr>
            <w:tcW w:type="dxa" w:w="11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7"/>
                <w:szCs w:val="17"/>
              </w:rPr>
              <w:t xml:space="preserve">0.22</w:t>
            </w:r>
          </w:p>
        </w:tc>
        <w:tc>
          <w:tcPr>
            <w:tcW w:type="dxa" w:w="11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7"/>
                <w:szCs w:val="17"/>
              </w:rPr>
              <w:t xml:space="preserve">0.19</w:t>
            </w:r>
          </w:p>
        </w:tc>
        <w:tc>
          <w:tcPr>
            <w:tcW w:type="dxa" w:w="800"/>
            <w:tcBorders>
              <w:top w:val="single" w:color="808080" w:sz="4"/>
              <w:left w:val="single" w:color="808080" w:sz="4"/>
              <w:bottom w:val="single" w:color="808080" w:sz="4"/>
              <w:right w:val="single" w:color="808080" w:sz="4"/>
            </w:tcBorders>
            <w:shd w:fill="DCF7E3" w:val="clear"/>
            <w:tcMar>
              <w:top w:type="dxa" w:w="60"/>
              <w:left w:type="dxa" w:w="100"/>
              <w:bottom w:type="dxa" w:w="60"/>
              <w:right w:type="dxa" w:w="100"/>
            </w:tcMar>
            <w:vAlign w:val="center"/>
          </w:tcPr>
          <w:p>
            <w:pPr>
              <w:spacing w:after="0" w:line="240"/>
              <w:jc w:val="center"/>
            </w:pPr>
            <w:r>
              <w:rPr>
                <w:rFonts w:ascii="Calibri" w:cs="Calibri" w:eastAsia="Calibri" w:hAnsi="Calibri"/>
                <w:b/>
                <w:bCs/>
                <w:i w:val="false"/>
                <w:iCs w:val="false"/>
                <w:sz w:val="16"/>
                <w:szCs w:val="16"/>
              </w:rPr>
              <w:t xml:space="preserve">PASS</w:t>
            </w:r>
          </w:p>
        </w:tc>
      </w:tr>
      <w:tr>
        <w:trPr>
          <w:cantSplit/>
        </w:trPr>
        <w:tc>
          <w:tcPr>
            <w:tcW w:type="dxa" w:w="24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7"/>
                <w:szCs w:val="17"/>
              </w:rPr>
              <w:t xml:space="preserve">Al₂O₃ [%]</w:t>
            </w:r>
          </w:p>
        </w:tc>
        <w:tc>
          <w:tcPr>
            <w:tcW w:type="dxa" w:w="14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iCs/>
                <w:sz w:val="16"/>
                <w:szCs w:val="16"/>
              </w:rPr>
              <w:t xml:space="preserve">max 1.00</w:t>
            </w:r>
          </w:p>
        </w:tc>
        <w:tc>
          <w:tcPr>
            <w:tcW w:type="dxa" w:w="11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7"/>
                <w:szCs w:val="17"/>
              </w:rPr>
              <w:t xml:space="preserve">0.04</w:t>
            </w:r>
          </w:p>
        </w:tc>
        <w:tc>
          <w:tcPr>
            <w:tcW w:type="dxa" w:w="11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7"/>
                <w:szCs w:val="17"/>
              </w:rPr>
              <w:t xml:space="preserve">0.62</w:t>
            </w:r>
          </w:p>
        </w:tc>
        <w:tc>
          <w:tcPr>
            <w:tcW w:type="dxa" w:w="11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7"/>
                <w:szCs w:val="17"/>
              </w:rPr>
              <w:t xml:space="preserve">0.59</w:t>
            </w:r>
          </w:p>
        </w:tc>
        <w:tc>
          <w:tcPr>
            <w:tcW w:type="dxa" w:w="11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7"/>
                <w:szCs w:val="17"/>
              </w:rPr>
              <w:t xml:space="preserve">0.64</w:t>
            </w:r>
          </w:p>
        </w:tc>
        <w:tc>
          <w:tcPr>
            <w:tcW w:type="dxa" w:w="800"/>
            <w:tcBorders>
              <w:top w:val="single" w:color="808080" w:sz="4"/>
              <w:left w:val="single" w:color="808080" w:sz="4"/>
              <w:bottom w:val="single" w:color="808080" w:sz="4"/>
              <w:right w:val="single" w:color="808080" w:sz="4"/>
            </w:tcBorders>
            <w:shd w:fill="DCF7E3" w:val="clear"/>
            <w:tcMar>
              <w:top w:type="dxa" w:w="60"/>
              <w:left w:type="dxa" w:w="100"/>
              <w:bottom w:type="dxa" w:w="60"/>
              <w:right w:type="dxa" w:w="100"/>
            </w:tcMar>
            <w:vAlign w:val="center"/>
          </w:tcPr>
          <w:p>
            <w:pPr>
              <w:spacing w:after="0" w:line="240"/>
              <w:jc w:val="center"/>
            </w:pPr>
            <w:r>
              <w:rPr>
                <w:rFonts w:ascii="Calibri" w:cs="Calibri" w:eastAsia="Calibri" w:hAnsi="Calibri"/>
                <w:b/>
                <w:bCs/>
                <w:i w:val="false"/>
                <w:iCs w:val="false"/>
                <w:sz w:val="16"/>
                <w:szCs w:val="16"/>
              </w:rPr>
              <w:t xml:space="preserve">PASS</w:t>
            </w:r>
          </w:p>
        </w:tc>
      </w:tr>
      <w:tr>
        <w:trPr>
          <w:cantSplit/>
        </w:trPr>
        <w:tc>
          <w:tcPr>
            <w:tcW w:type="dxa" w:w="24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7"/>
                <w:szCs w:val="17"/>
              </w:rPr>
              <w:t xml:space="preserve">SiO₂ [%]</w:t>
            </w:r>
          </w:p>
        </w:tc>
        <w:tc>
          <w:tcPr>
            <w:tcW w:type="dxa" w:w="14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iCs/>
                <w:sz w:val="16"/>
                <w:szCs w:val="16"/>
              </w:rPr>
              <w:t xml:space="preserve">max 2.00</w:t>
            </w:r>
          </w:p>
        </w:tc>
        <w:tc>
          <w:tcPr>
            <w:tcW w:type="dxa" w:w="11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7"/>
                <w:szCs w:val="17"/>
              </w:rPr>
              <w:t xml:space="preserve">0.09</w:t>
            </w:r>
          </w:p>
        </w:tc>
        <w:tc>
          <w:tcPr>
            <w:tcW w:type="dxa" w:w="11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7"/>
                <w:szCs w:val="17"/>
              </w:rPr>
              <w:t xml:space="preserve">1.31</w:t>
            </w:r>
          </w:p>
        </w:tc>
        <w:tc>
          <w:tcPr>
            <w:tcW w:type="dxa" w:w="11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7"/>
                <w:szCs w:val="17"/>
              </w:rPr>
              <w:t xml:space="preserve">1.28</w:t>
            </w:r>
          </w:p>
        </w:tc>
        <w:tc>
          <w:tcPr>
            <w:tcW w:type="dxa" w:w="11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7"/>
                <w:szCs w:val="17"/>
              </w:rPr>
              <w:t xml:space="preserve">1.34</w:t>
            </w:r>
          </w:p>
        </w:tc>
        <w:tc>
          <w:tcPr>
            <w:tcW w:type="dxa" w:w="800"/>
            <w:tcBorders>
              <w:top w:val="single" w:color="808080" w:sz="4"/>
              <w:left w:val="single" w:color="808080" w:sz="4"/>
              <w:bottom w:val="single" w:color="808080" w:sz="4"/>
              <w:right w:val="single" w:color="808080" w:sz="4"/>
            </w:tcBorders>
            <w:shd w:fill="DCF7E3" w:val="clear"/>
            <w:tcMar>
              <w:top w:type="dxa" w:w="60"/>
              <w:left w:type="dxa" w:w="100"/>
              <w:bottom w:type="dxa" w:w="60"/>
              <w:right w:type="dxa" w:w="100"/>
            </w:tcMar>
            <w:vAlign w:val="center"/>
          </w:tcPr>
          <w:p>
            <w:pPr>
              <w:spacing w:after="0" w:line="240"/>
              <w:jc w:val="center"/>
            </w:pPr>
            <w:r>
              <w:rPr>
                <w:rFonts w:ascii="Calibri" w:cs="Calibri" w:eastAsia="Calibri" w:hAnsi="Calibri"/>
                <w:b/>
                <w:bCs/>
                <w:i w:val="false"/>
                <w:iCs w:val="false"/>
                <w:sz w:val="16"/>
                <w:szCs w:val="16"/>
              </w:rPr>
              <w:t xml:space="preserve">PASS</w:t>
            </w:r>
          </w:p>
        </w:tc>
      </w:tr>
      <w:tr>
        <w:trPr>
          <w:cantSplit/>
        </w:trPr>
        <w:tc>
          <w:tcPr>
            <w:tcW w:type="dxa" w:w="24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7"/>
                <w:szCs w:val="17"/>
              </w:rPr>
              <w:t xml:space="preserve">CaO [%]</w:t>
            </w:r>
          </w:p>
        </w:tc>
        <w:tc>
          <w:tcPr>
            <w:tcW w:type="dxa" w:w="14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iCs/>
                <w:sz w:val="16"/>
                <w:szCs w:val="16"/>
              </w:rPr>
              <w:t xml:space="preserve">max 5.00</w:t>
            </w:r>
          </w:p>
        </w:tc>
        <w:tc>
          <w:tcPr>
            <w:tcW w:type="dxa" w:w="11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7"/>
                <w:szCs w:val="17"/>
              </w:rPr>
              <w:t xml:space="preserve">&lt; 0.01</w:t>
            </w:r>
          </w:p>
        </w:tc>
        <w:tc>
          <w:tcPr>
            <w:tcW w:type="dxa" w:w="11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7"/>
                <w:szCs w:val="17"/>
              </w:rPr>
              <w:t xml:space="preserve">3.02</w:t>
            </w:r>
          </w:p>
        </w:tc>
        <w:tc>
          <w:tcPr>
            <w:tcW w:type="dxa" w:w="11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7"/>
                <w:szCs w:val="17"/>
              </w:rPr>
              <w:t xml:space="preserve">3.11</w:t>
            </w:r>
          </w:p>
        </w:tc>
        <w:tc>
          <w:tcPr>
            <w:tcW w:type="dxa" w:w="11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7"/>
                <w:szCs w:val="17"/>
              </w:rPr>
              <w:t xml:space="preserve">2.94</w:t>
            </w:r>
          </w:p>
        </w:tc>
        <w:tc>
          <w:tcPr>
            <w:tcW w:type="dxa" w:w="800"/>
            <w:tcBorders>
              <w:top w:val="single" w:color="808080" w:sz="4"/>
              <w:left w:val="single" w:color="808080" w:sz="4"/>
              <w:bottom w:val="single" w:color="808080" w:sz="4"/>
              <w:right w:val="single" w:color="808080" w:sz="4"/>
            </w:tcBorders>
            <w:shd w:fill="DCF7E3" w:val="clear"/>
            <w:tcMar>
              <w:top w:type="dxa" w:w="60"/>
              <w:left w:type="dxa" w:w="100"/>
              <w:bottom w:type="dxa" w:w="60"/>
              <w:right w:type="dxa" w:w="100"/>
            </w:tcMar>
            <w:vAlign w:val="center"/>
          </w:tcPr>
          <w:p>
            <w:pPr>
              <w:spacing w:after="0" w:line="240"/>
              <w:jc w:val="center"/>
            </w:pPr>
            <w:r>
              <w:rPr>
                <w:rFonts w:ascii="Calibri" w:cs="Calibri" w:eastAsia="Calibri" w:hAnsi="Calibri"/>
                <w:b/>
                <w:bCs/>
                <w:i w:val="false"/>
                <w:iCs w:val="false"/>
                <w:sz w:val="16"/>
                <w:szCs w:val="16"/>
              </w:rPr>
              <w:t xml:space="preserve">PASS</w:t>
            </w:r>
          </w:p>
        </w:tc>
      </w:tr>
      <w:tr>
        <w:trPr>
          <w:cantSplit/>
        </w:trPr>
        <w:tc>
          <w:tcPr>
            <w:tcW w:type="dxa" w:w="24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7"/>
                <w:szCs w:val="17"/>
              </w:rPr>
              <w:t xml:space="preserve">MgO [%]</w:t>
            </w:r>
          </w:p>
        </w:tc>
        <w:tc>
          <w:tcPr>
            <w:tcW w:type="dxa" w:w="14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iCs/>
                <w:sz w:val="16"/>
                <w:szCs w:val="16"/>
              </w:rPr>
              <w:t xml:space="preserve">max 0.50</w:t>
            </w:r>
          </w:p>
        </w:tc>
        <w:tc>
          <w:tcPr>
            <w:tcW w:type="dxa" w:w="11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7"/>
                <w:szCs w:val="17"/>
              </w:rPr>
              <w:t xml:space="preserve">&lt; 0.01</w:t>
            </w:r>
          </w:p>
        </w:tc>
        <w:tc>
          <w:tcPr>
            <w:tcW w:type="dxa" w:w="11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7"/>
                <w:szCs w:val="17"/>
              </w:rPr>
              <w:t xml:space="preserve">0.18</w:t>
            </w:r>
          </w:p>
        </w:tc>
        <w:tc>
          <w:tcPr>
            <w:tcW w:type="dxa" w:w="11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7"/>
                <w:szCs w:val="17"/>
              </w:rPr>
              <w:t xml:space="preserve">0.21</w:t>
            </w:r>
          </w:p>
        </w:tc>
        <w:tc>
          <w:tcPr>
            <w:tcW w:type="dxa" w:w="11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7"/>
                <w:szCs w:val="17"/>
              </w:rPr>
              <w:t xml:space="preserve">0.17</w:t>
            </w:r>
          </w:p>
        </w:tc>
        <w:tc>
          <w:tcPr>
            <w:tcW w:type="dxa" w:w="800"/>
            <w:tcBorders>
              <w:top w:val="single" w:color="808080" w:sz="4"/>
              <w:left w:val="single" w:color="808080" w:sz="4"/>
              <w:bottom w:val="single" w:color="808080" w:sz="4"/>
              <w:right w:val="single" w:color="808080" w:sz="4"/>
            </w:tcBorders>
            <w:shd w:fill="DCF7E3" w:val="clear"/>
            <w:tcMar>
              <w:top w:type="dxa" w:w="60"/>
              <w:left w:type="dxa" w:w="100"/>
              <w:bottom w:type="dxa" w:w="60"/>
              <w:right w:type="dxa" w:w="100"/>
            </w:tcMar>
            <w:vAlign w:val="center"/>
          </w:tcPr>
          <w:p>
            <w:pPr>
              <w:spacing w:after="0" w:line="240"/>
              <w:jc w:val="center"/>
            </w:pPr>
            <w:r>
              <w:rPr>
                <w:rFonts w:ascii="Calibri" w:cs="Calibri" w:eastAsia="Calibri" w:hAnsi="Calibri"/>
                <w:b/>
                <w:bCs/>
                <w:i w:val="false"/>
                <w:iCs w:val="false"/>
                <w:sz w:val="16"/>
                <w:szCs w:val="16"/>
              </w:rPr>
              <w:t xml:space="preserve">PASS</w:t>
            </w:r>
          </w:p>
        </w:tc>
      </w:tr>
      <w:tr>
        <w:trPr>
          <w:cantSplit/>
        </w:trPr>
        <w:tc>
          <w:tcPr>
            <w:tcW w:type="dxa" w:w="24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7"/>
                <w:szCs w:val="17"/>
              </w:rPr>
              <w:t xml:space="preserve">BaO [%]</w:t>
            </w:r>
          </w:p>
        </w:tc>
        <w:tc>
          <w:tcPr>
            <w:tcW w:type="dxa" w:w="14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iCs/>
                <w:sz w:val="16"/>
                <w:szCs w:val="16"/>
              </w:rPr>
              <w:t xml:space="preserve">max 6.00</w:t>
            </w:r>
          </w:p>
        </w:tc>
        <w:tc>
          <w:tcPr>
            <w:tcW w:type="dxa" w:w="11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7"/>
                <w:szCs w:val="17"/>
              </w:rPr>
              <w:t xml:space="preserve">n.d.</w:t>
            </w:r>
          </w:p>
        </w:tc>
        <w:tc>
          <w:tcPr>
            <w:tcW w:type="dxa" w:w="11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7"/>
                <w:szCs w:val="17"/>
              </w:rPr>
              <w:t xml:space="preserve">4.18</w:t>
            </w:r>
          </w:p>
        </w:tc>
        <w:tc>
          <w:tcPr>
            <w:tcW w:type="dxa" w:w="11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7"/>
                <w:szCs w:val="17"/>
              </w:rPr>
              <w:t xml:space="preserve">4.07</w:t>
            </w:r>
          </w:p>
        </w:tc>
        <w:tc>
          <w:tcPr>
            <w:tcW w:type="dxa" w:w="11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7"/>
                <w:szCs w:val="17"/>
              </w:rPr>
              <w:t xml:space="preserve">4.32</w:t>
            </w:r>
          </w:p>
        </w:tc>
        <w:tc>
          <w:tcPr>
            <w:tcW w:type="dxa" w:w="800"/>
            <w:tcBorders>
              <w:top w:val="single" w:color="808080" w:sz="4"/>
              <w:left w:val="single" w:color="808080" w:sz="4"/>
              <w:bottom w:val="single" w:color="808080" w:sz="4"/>
              <w:right w:val="single" w:color="808080" w:sz="4"/>
            </w:tcBorders>
            <w:shd w:fill="DCF7E3" w:val="clear"/>
            <w:tcMar>
              <w:top w:type="dxa" w:w="60"/>
              <w:left w:type="dxa" w:w="100"/>
              <w:bottom w:type="dxa" w:w="60"/>
              <w:right w:type="dxa" w:w="100"/>
            </w:tcMar>
            <w:vAlign w:val="center"/>
          </w:tcPr>
          <w:p>
            <w:pPr>
              <w:spacing w:after="0" w:line="240"/>
              <w:jc w:val="center"/>
            </w:pPr>
            <w:r>
              <w:rPr>
                <w:rFonts w:ascii="Calibri" w:cs="Calibri" w:eastAsia="Calibri" w:hAnsi="Calibri"/>
                <w:b/>
                <w:bCs/>
                <w:i w:val="false"/>
                <w:iCs w:val="false"/>
                <w:sz w:val="16"/>
                <w:szCs w:val="16"/>
              </w:rPr>
              <w:t xml:space="preserve">PASS</w:t>
            </w:r>
          </w:p>
        </w:tc>
      </w:tr>
      <w:tr>
        <w:trPr>
          <w:cantSplit/>
        </w:trPr>
        <w:tc>
          <w:tcPr>
            <w:tcW w:type="dxa" w:w="24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7"/>
                <w:szCs w:val="17"/>
              </w:rPr>
              <w:t xml:space="preserve">Ash content [%]</w:t>
            </w:r>
          </w:p>
        </w:tc>
        <w:tc>
          <w:tcPr>
            <w:tcW w:type="dxa" w:w="14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iCs/>
                <w:sz w:val="16"/>
                <w:szCs w:val="16"/>
              </w:rPr>
              <w:t xml:space="preserve">—</w:t>
            </w:r>
          </w:p>
        </w:tc>
        <w:tc>
          <w:tcPr>
            <w:tcW w:type="dxa" w:w="11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7"/>
                <w:szCs w:val="17"/>
              </w:rPr>
              <w:t xml:space="preserve">0.7</w:t>
            </w:r>
          </w:p>
        </w:tc>
        <w:tc>
          <w:tcPr>
            <w:tcW w:type="dxa" w:w="11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7"/>
                <w:szCs w:val="17"/>
              </w:rPr>
              <w:t xml:space="preserve">11.8</w:t>
            </w:r>
          </w:p>
        </w:tc>
        <w:tc>
          <w:tcPr>
            <w:tcW w:type="dxa" w:w="11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7"/>
                <w:szCs w:val="17"/>
              </w:rPr>
              <w:t xml:space="preserve">12.1</w:t>
            </w:r>
          </w:p>
        </w:tc>
        <w:tc>
          <w:tcPr>
            <w:tcW w:type="dxa" w:w="11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7"/>
                <w:szCs w:val="17"/>
              </w:rPr>
              <w:t xml:space="preserve">11.6</w:t>
            </w:r>
          </w:p>
        </w:tc>
        <w:tc>
          <w:tcPr>
            <w:tcW w:type="dxa" w:w="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center"/>
            </w:pPr>
            <w:r>
              <w:rPr>
                <w:rFonts w:ascii="Calibri" w:cs="Calibri" w:eastAsia="Calibri" w:hAnsi="Calibri"/>
                <w:b/>
                <w:bCs/>
                <w:i w:val="false"/>
                <w:iCs w:val="false"/>
                <w:sz w:val="16"/>
                <w:szCs w:val="16"/>
              </w:rPr>
              <w:t xml:space="preserve">—</w:t>
            </w:r>
          </w:p>
        </w:tc>
      </w:tr>
      <w:tr>
        <w:trPr>
          <w:cantSplit/>
        </w:trPr>
        <w:tc>
          <w:tcPr>
            <w:tcW w:type="dxa" w:w="24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7"/>
                <w:szCs w:val="17"/>
              </w:rPr>
              <w:t xml:space="preserve">Pendulum hardness [s]</w:t>
            </w:r>
          </w:p>
        </w:tc>
        <w:tc>
          <w:tcPr>
            <w:tcW w:type="dxa" w:w="14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iCs/>
                <w:sz w:val="16"/>
                <w:szCs w:val="16"/>
              </w:rPr>
              <w:t xml:space="preserve">min 110</w:t>
            </w:r>
          </w:p>
        </w:tc>
        <w:tc>
          <w:tcPr>
            <w:tcW w:type="dxa" w:w="11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7"/>
                <w:szCs w:val="17"/>
              </w:rPr>
              <w:t xml:space="preserve">—</w:t>
            </w:r>
          </w:p>
        </w:tc>
        <w:tc>
          <w:tcPr>
            <w:tcW w:type="dxa" w:w="11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7"/>
                <w:szCs w:val="17"/>
              </w:rPr>
              <w:t xml:space="preserve">118</w:t>
            </w:r>
          </w:p>
        </w:tc>
        <w:tc>
          <w:tcPr>
            <w:tcW w:type="dxa" w:w="11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7"/>
                <w:szCs w:val="17"/>
              </w:rPr>
              <w:t xml:space="preserve">121</w:t>
            </w:r>
          </w:p>
        </w:tc>
        <w:tc>
          <w:tcPr>
            <w:tcW w:type="dxa" w:w="11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7"/>
                <w:szCs w:val="17"/>
              </w:rPr>
              <w:t xml:space="preserve">115</w:t>
            </w:r>
          </w:p>
        </w:tc>
        <w:tc>
          <w:tcPr>
            <w:tcW w:type="dxa" w:w="800"/>
            <w:tcBorders>
              <w:top w:val="single" w:color="808080" w:sz="4"/>
              <w:left w:val="single" w:color="808080" w:sz="4"/>
              <w:bottom w:val="single" w:color="808080" w:sz="4"/>
              <w:right w:val="single" w:color="808080" w:sz="4"/>
            </w:tcBorders>
            <w:shd w:fill="DCF7E3" w:val="clear"/>
            <w:tcMar>
              <w:top w:type="dxa" w:w="60"/>
              <w:left w:type="dxa" w:w="100"/>
              <w:bottom w:type="dxa" w:w="60"/>
              <w:right w:type="dxa" w:w="100"/>
            </w:tcMar>
            <w:vAlign w:val="center"/>
          </w:tcPr>
          <w:p>
            <w:pPr>
              <w:spacing w:after="0" w:line="240"/>
              <w:jc w:val="center"/>
            </w:pPr>
            <w:r>
              <w:rPr>
                <w:rFonts w:ascii="Calibri" w:cs="Calibri" w:eastAsia="Calibri" w:hAnsi="Calibri"/>
                <w:b/>
                <w:bCs/>
                <w:i w:val="false"/>
                <w:iCs w:val="false"/>
                <w:sz w:val="16"/>
                <w:szCs w:val="16"/>
              </w:rPr>
              <w:t xml:space="preserve">PASS</w:t>
            </w:r>
          </w:p>
        </w:tc>
      </w:tr>
    </w:tbl>
    <w:p>
      <w:pPr>
        <w:spacing w:after="120"/>
      </w:pPr>
      <w:r>
        <w:t xml:space="preserve"/>
      </w:r>
    </w:p>
    <w:p>
      <w:pPr>
        <w:spacing w:after="100" w:before="160"/>
      </w:pPr>
      <w:r>
        <w:rPr>
          <w:rFonts w:ascii="Calibri" w:cs="Calibri" w:eastAsia="Calibri" w:hAnsi="Calibri"/>
          <w:b/>
          <w:bCs/>
          <w:sz w:val="22"/>
          <w:szCs w:val="22"/>
        </w:rPr>
        <w:t xml:space="preserve">3.2  Binder system and release determination</w:t>
      </w:r>
    </w:p>
    <w:p>
      <w:pPr>
        <w:spacing w:after="80" w:line="280"/>
      </w:pPr>
      <w:r>
        <w:rPr>
          <w:rFonts w:ascii="Calibri" w:cs="Calibri" w:eastAsia="Calibri" w:hAnsi="Calibri"/>
          <w:sz w:val="20"/>
          <w:szCs w:val="20"/>
        </w:rPr>
        <w:t xml:space="preserve">The four samples were characterised by FTIR in the spectral range 4000–650 cm⁻¹. All samples displayed absorption profiles consistent with a bisphenol A epoxy resin binder system, with the characteristic aromatic stretches at 1606 and 1508 cm⁻¹ and the epoxide ring deformation at 915 cm⁻¹. All measured oxide constituents are within internal specification limits. Pendulum hardness (115–121 s) exceeds the 110 s minimum specification. All three production batches PASS internal release criteria. The product as supplied is suitable for shipment.</w:t>
      </w:r>
    </w:p>
    <w:p>
      <w:pPr>
        <w:spacing w:after="80" w:before="240"/>
      </w:pPr>
      <w:r>
        <w:rPr>
          <w:rFonts w:ascii="Calibri" w:cs="Calibri" w:eastAsia="Calibri" w:hAnsi="Calibri"/>
          <w:b/>
          <w:bCs/>
          <w:sz w:val="20"/>
          <w:szCs w:val="20"/>
        </w:rPr>
        <w:t xml:space="preserve">Costs of analysis:  1,720.00 USD</w:t>
      </w:r>
    </w:p>
    <w:sectPr>
      <w:headerReference w:type="default" r:id="rId7"/>
      <w:footerReference w:type="default" r:id="rId8"/>
      <w:pgSz w:w="12240" w:h="15840" w:orient="portrait"/>
      <w:pgMar w:top="1200" w:right="1200" w:bottom="1200" w:left="12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left"/>
    </w:pPr>
    <w:r>
      <w:rPr>
        <w:rFonts w:ascii="Calibri" w:cs="Calibri" w:eastAsia="Calibri" w:hAnsi="Calibri"/>
        <w:color w:val="7F7F7F"/>
        <w:sz w:val="16"/>
        <w:szCs w:val="16"/>
      </w:rPr>
      <w:t xml:space="preserve">Report-no:  US2023-0824 640000222431</w:t>
    </w:r>
    <w:r>
      <w:rPr>
        <w:sz w:val="16"/>
        <w:szCs w:val="16"/>
      </w:rPr>
      <w:t xml:space="preserve">		</w:t>
    </w:r>
    <w:r>
      <w:rPr>
        <w:rFonts w:ascii="Calibri" w:cs="Calibri" w:eastAsia="Calibri" w:hAnsi="Calibri"/>
        <w:color w:val="7F7F7F"/>
        <w:sz w:val="16"/>
        <w:szCs w:val="16"/>
      </w:rPr>
      <w:t xml:space="preserve">Page </w:t>
    </w:r>
    <w:r>
      <w:rPr>
        <w:rFonts w:ascii="Calibri" w:cs="Calibri" w:eastAsia="Calibri" w:hAnsi="Calibri"/>
        <w:color w:val="7F7F7F"/>
        <w:sz w:val="16"/>
        <w:szCs w:val="16"/>
      </w:rPr>
      <w:fldChar w:fldCharType="begin"/>
      <w:instrText xml:space="preserve">PAGE</w:instrText>
      <w:fldChar w:fldCharType="separate"/>
      <w:fldChar w:fldCharType="end"/>
    </w:r>
    <w:r>
      <w:rPr>
        <w:rFonts w:ascii="Calibri" w:cs="Calibri" w:eastAsia="Calibri" w:hAnsi="Calibri"/>
        <w:color w:val="7F7F7F"/>
        <w:sz w:val="16"/>
        <w:szCs w:val="16"/>
      </w:rPr>
      <w:t xml:space="preserve"> of </w:t>
    </w:r>
    <w:r>
      <w:rPr>
        <w:rFonts w:ascii="Calibri" w:cs="Calibri" w:eastAsia="Calibri" w:hAnsi="Calibri"/>
        <w:color w:val="7F7F7F"/>
        <w:sz w:val="16"/>
        <w:szCs w:val="16"/>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rFonts w:ascii="Calibri" w:cs="Calibri" w:eastAsia="Calibri" w:hAnsi="Calibri"/>
        <w:color w:val="7F7F7F"/>
        <w:sz w:val="16"/>
        <w:szCs w:val="16"/>
      </w:rPr>
      <w:t xml:space="preserve">Meridian Analytical Laboratories  |  1840 Innovation Drive, Wilmington, DE 19801, USA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lowerLetter"/>
      <w:lvlText w:val="%1)"/>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footnotes" Target="footnote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customXml" Target="../customXml/item2.xml"/><Relationship Id="rId5" Type="http://schemas.openxmlformats.org/officeDocument/2006/relationships/settings" Target="settings.xml"/><Relationship Id="rId10" Type="http://schemas.openxmlformats.org/officeDocument/2006/relationships/customXml" Target="../customXml/item1.xml"/><Relationship Id="rId4" Type="http://schemas.openxmlformats.org/officeDocument/2006/relationships/endnotes" Target="endnotes.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8E32C98A9E5C43B8402AF89C8CF7BA" ma:contentTypeVersion="25" ma:contentTypeDescription="Create a new document." ma:contentTypeScope="" ma:versionID="0eb876bdcc1e2c07f9720625181e20c8">
  <xsd:schema xmlns:xsd="http://www.w3.org/2001/XMLSchema" xmlns:xs="http://www.w3.org/2001/XMLSchema" xmlns:p="http://schemas.microsoft.com/office/2006/metadata/properties" xmlns:ns2="b8a28264-3c00-4a77-9fda-506e2d365606" xmlns:ns3="a5d612e4-2c29-4bc8-b0f0-f93d8306f3b2" targetNamespace="http://schemas.microsoft.com/office/2006/metadata/properties" ma:root="true" ma:fieldsID="3ae7d608abefeecd0ae76ffb2e678e34" ns2:_="" ns3:_="">
    <xsd:import namespace="b8a28264-3c00-4a77-9fda-506e2d365606"/>
    <xsd:import namespace="a5d612e4-2c29-4bc8-b0f0-f93d8306f3b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DateTaken" minOccurs="0"/>
                <xsd:element ref="ns2:MediaLengthInSeconds" minOccurs="0"/>
                <xsd:element ref="ns2:MediaServiceSearchProperties" minOccurs="0"/>
                <xsd:element ref="ns2:MediaServiceBillingMetadata" minOccurs="0"/>
                <xsd:element ref="ns2:MediaServiceLocation" minOccurs="0"/>
                <xsd:element ref="ns2:Handler" minOccurs="0"/>
                <xsd:element ref="ns2: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a28264-3c00-4a77-9fda-506e2d3656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0e639c09-72eb-486f-aabc-247b384157f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Handler" ma:index="27" nillable="true" ma:displayName="Handler" ma:description="who is taking care of this profile" ma:format="Dropdown" ma:list="UserInfo" ma:SharePointGroup="0" ma:internalName="Handl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Owner" ma:index="28" nillable="true" ma:displayName="Owner" ma:format="Dropdown" ma:internalName="Owner">
      <xsd:simpleType>
        <xsd:restriction base="dms:Choice">
          <xsd:enumeration value="Purbasha"/>
          <xsd:enumeration value="Parikshith"/>
          <xsd:enumeration value="Suraj"/>
        </xsd:restriction>
      </xsd:simpleType>
    </xsd:element>
  </xsd:schema>
  <xsd:schema xmlns:xsd="http://www.w3.org/2001/XMLSchema" xmlns:xs="http://www.w3.org/2001/XMLSchema" xmlns:dms="http://schemas.microsoft.com/office/2006/documentManagement/types" xmlns:pc="http://schemas.microsoft.com/office/infopath/2007/PartnerControls" targetNamespace="a5d612e4-2c29-4bc8-b0f0-f93d8306f3b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5649a72c-497a-44e9-9db0-3c25a067ab98}" ma:internalName="TaxCatchAll" ma:showField="CatchAllData" ma:web="a5d612e4-2c29-4bc8-b0f0-f93d8306f3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5d612e4-2c29-4bc8-b0f0-f93d8306f3b2" xsi:nil="true"/>
    <lcf76f155ced4ddcb4097134ff3c332f xmlns="b8a28264-3c00-4a77-9fda-506e2d365606">
      <Terms xmlns="http://schemas.microsoft.com/office/infopath/2007/PartnerControls"/>
    </lcf76f155ced4ddcb4097134ff3c332f>
    <Handler xmlns="b8a28264-3c00-4a77-9fda-506e2d365606">
      <UserInfo>
        <DisplayName/>
        <AccountId xsi:nil="true"/>
        <AccountType/>
      </UserInfo>
    </Handler>
    <Owner xmlns="b8a28264-3c00-4a77-9fda-506e2d365606" xsi:nil="true"/>
  </documentManagement>
</p:properties>
</file>

<file path=customXml/itemProps1.xml><?xml version="1.0" encoding="utf-8"?>
<ds:datastoreItem xmlns:ds="http://schemas.openxmlformats.org/officeDocument/2006/customXml" ds:itemID="{5A412FAB-A106-4869-B60B-4E288E04018D}"/>
</file>

<file path=customXml/itemProps2.xml><?xml version="1.0" encoding="utf-8"?>
<ds:datastoreItem xmlns:ds="http://schemas.openxmlformats.org/officeDocument/2006/customXml" ds:itemID="{538F173D-FD3E-4B73-AD8D-183BD8BB6E6B}"/>
</file>

<file path=customXml/itemProps3.xml><?xml version="1.0" encoding="utf-8"?>
<ds:datastoreItem xmlns:ds="http://schemas.openxmlformats.org/officeDocument/2006/customXml" ds:itemID="{34996375-BA47-4581-87C1-6933600F5FC3}"/>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Analytical Report US2023-0824</dc:title>
  <dc:creator>Meridian Analytical Laboratories</dc:creator>
  <cp:lastModifiedBy>Un-named</cp:lastModifiedBy>
  <cp:revision>1</cp:revision>
  <dcterms:created xsi:type="dcterms:W3CDTF">2026-05-04T12:36:16Z</dcterms:created>
  <dcterms:modified xsi:type="dcterms:W3CDTF">2026-05-04T12:36:16Z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0x010100938E32C98A9E5C43B8402AF89C8CF7BA</vt:lpwstr>
  </property>
</Properties>
</file>